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FEA2" w14:textId="77777777" w:rsidR="0035635C" w:rsidRPr="001D013F" w:rsidRDefault="0035635C" w:rsidP="0035635C">
      <w:pPr>
        <w:spacing w:after="0"/>
        <w:rPr>
          <w:rFonts w:cstheme="minorHAnsi"/>
          <w:bCs/>
        </w:rPr>
      </w:pPr>
      <w:r w:rsidRPr="001D013F">
        <w:rPr>
          <w:rFonts w:cstheme="minorHAnsi"/>
          <w:b/>
        </w:rPr>
        <w:t>I. Promote a Culture of Equity</w:t>
      </w:r>
    </w:p>
    <w:p w14:paraId="25E0891E" w14:textId="31F90084" w:rsidR="003B0E43" w:rsidRDefault="003B0E43" w:rsidP="0047584C">
      <w:pPr>
        <w:spacing w:after="0"/>
        <w:rPr>
          <w:rFonts w:cstheme="minorHAnsi"/>
          <w:bCs/>
        </w:rPr>
      </w:pPr>
    </w:p>
    <w:p w14:paraId="36E3496C" w14:textId="53E29E3F" w:rsidR="003B0E43" w:rsidRPr="00571093" w:rsidRDefault="003B0E43" w:rsidP="003B0E4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training and education in the social determinants of health to staff</w:t>
      </w:r>
      <w:r w:rsidRPr="003B0E43">
        <w:rPr>
          <w:rFonts w:ascii="Calibri" w:hAnsi="Calibri" w:cs="Calibri"/>
          <w:szCs w:val="24"/>
          <w:vertAlign w:val="superscript"/>
        </w:rPr>
        <w:t>1,2</w:t>
      </w:r>
    </w:p>
    <w:p w14:paraId="48847426" w14:textId="0C880ABE" w:rsidR="003B0E43" w:rsidRPr="00571093" w:rsidRDefault="003B0E43" w:rsidP="003B0E4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cultural sensitivity training to staff</w:t>
      </w:r>
      <w:r w:rsidRPr="003B0E43">
        <w:rPr>
          <w:rFonts w:ascii="Calibri" w:hAnsi="Calibri" w:cs="Calibri"/>
          <w:szCs w:val="24"/>
          <w:vertAlign w:val="superscript"/>
        </w:rPr>
        <w:t>3–7</w:t>
      </w:r>
    </w:p>
    <w:p w14:paraId="1C68AD53" w14:textId="4A881A7D" w:rsidR="003B0E43" w:rsidRPr="00571093" w:rsidRDefault="003B0E43" w:rsidP="003B0E43">
      <w:pPr>
        <w:pStyle w:val="ListParagraph"/>
        <w:numPr>
          <w:ilvl w:val="0"/>
          <w:numId w:val="1"/>
        </w:numPr>
        <w:rPr>
          <w:rFonts w:cstheme="minorHAnsi"/>
        </w:rPr>
      </w:pPr>
      <w:r w:rsidRPr="00571093">
        <w:rPr>
          <w:rFonts w:cstheme="minorHAnsi"/>
        </w:rPr>
        <w:t>Acknowledge and manage implicit and explicit personal bias</w:t>
      </w:r>
      <w:r w:rsidRPr="003B0E43">
        <w:rPr>
          <w:rFonts w:ascii="Calibri" w:hAnsi="Calibri" w:cs="Calibri"/>
          <w:szCs w:val="24"/>
          <w:vertAlign w:val="superscript"/>
        </w:rPr>
        <w:t>8–14</w:t>
      </w:r>
    </w:p>
    <w:p w14:paraId="76CE029F" w14:textId="243F8D97" w:rsidR="003B0E43" w:rsidRPr="00571093" w:rsidRDefault="003B0E43" w:rsidP="003B0E43">
      <w:pPr>
        <w:pStyle w:val="ListParagraph"/>
        <w:numPr>
          <w:ilvl w:val="0"/>
          <w:numId w:val="1"/>
        </w:numPr>
        <w:rPr>
          <w:rFonts w:cstheme="minorHAnsi"/>
        </w:rPr>
      </w:pPr>
      <w:r w:rsidRPr="00571093">
        <w:rPr>
          <w:rFonts w:cstheme="minorHAnsi"/>
        </w:rPr>
        <w:t>Promote a culture of equity</w:t>
      </w:r>
      <w:r w:rsidR="00984CD7" w:rsidRPr="00984CD7">
        <w:rPr>
          <w:rFonts w:ascii="Calibri" w:hAnsi="Calibri" w:cs="Calibri"/>
          <w:szCs w:val="24"/>
          <w:vertAlign w:val="superscript"/>
        </w:rPr>
        <w:t>15–17</w:t>
      </w:r>
    </w:p>
    <w:p w14:paraId="584773D0" w14:textId="25449443" w:rsidR="003B0E43" w:rsidRPr="00571093" w:rsidRDefault="003B0E43" w:rsidP="003B0E43">
      <w:pPr>
        <w:pStyle w:val="ListParagraph"/>
        <w:numPr>
          <w:ilvl w:val="0"/>
          <w:numId w:val="1"/>
        </w:numPr>
        <w:rPr>
          <w:rFonts w:cstheme="minorHAnsi"/>
        </w:rPr>
      </w:pPr>
      <w:r w:rsidRPr="00571093">
        <w:rPr>
          <w:rFonts w:cstheme="minorHAnsi"/>
        </w:rPr>
        <w:t>Create a disparities dashboard</w:t>
      </w:r>
      <w:r w:rsidR="00984CD7" w:rsidRPr="00984CD7">
        <w:rPr>
          <w:rFonts w:ascii="Calibri" w:hAnsi="Calibri" w:cs="Calibri"/>
          <w:szCs w:val="24"/>
          <w:vertAlign w:val="superscript"/>
        </w:rPr>
        <w:t>18–20</w:t>
      </w:r>
    </w:p>
    <w:p w14:paraId="6222C2B5" w14:textId="0626B6CE" w:rsidR="003B0E43" w:rsidRPr="00571093" w:rsidRDefault="003B0E43" w:rsidP="003B0E4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Create a culture committed to follow</w:t>
      </w:r>
      <w:r w:rsidR="0035635C">
        <w:rPr>
          <w:rFonts w:cstheme="minorHAnsi"/>
        </w:rPr>
        <w:t>-</w:t>
      </w:r>
      <w:r w:rsidRPr="00571093">
        <w:rPr>
          <w:rFonts w:cstheme="minorHAnsi"/>
        </w:rPr>
        <w:t>through</w:t>
      </w:r>
      <w:r w:rsidR="00984CD7" w:rsidRPr="00984CD7">
        <w:rPr>
          <w:rFonts w:ascii="Calibri" w:hAnsi="Calibri" w:cs="Calibri"/>
          <w:szCs w:val="24"/>
          <w:vertAlign w:val="superscript"/>
        </w:rPr>
        <w:t>18,21</w:t>
      </w:r>
    </w:p>
    <w:p w14:paraId="72CE2376" w14:textId="77777777" w:rsidR="003B0E43" w:rsidRDefault="003B0E43" w:rsidP="0047584C">
      <w:pPr>
        <w:spacing w:after="0"/>
        <w:rPr>
          <w:rFonts w:cstheme="minorHAnsi"/>
          <w:b/>
        </w:rPr>
      </w:pPr>
    </w:p>
    <w:p w14:paraId="47038C2F" w14:textId="77777777" w:rsidR="0035635C" w:rsidRPr="001D013F" w:rsidRDefault="0035635C" w:rsidP="0035635C">
      <w:pPr>
        <w:spacing w:after="0"/>
        <w:rPr>
          <w:rFonts w:cstheme="minorHAnsi"/>
          <w:b/>
        </w:rPr>
      </w:pPr>
      <w:r w:rsidRPr="001D013F">
        <w:rPr>
          <w:rFonts w:cstheme="minorHAnsi"/>
          <w:b/>
        </w:rPr>
        <w:t>II. Identify Social Risks of Families and Provide Interventions to Prevent and Mitigate Those Risks</w:t>
      </w:r>
    </w:p>
    <w:p w14:paraId="4D1DBC6E" w14:textId="77777777" w:rsidR="0042015E" w:rsidRPr="00571093" w:rsidRDefault="0042015E" w:rsidP="0047584C">
      <w:pPr>
        <w:spacing w:after="0"/>
        <w:rPr>
          <w:rFonts w:cstheme="minorHAnsi"/>
          <w:b/>
        </w:rPr>
      </w:pPr>
    </w:p>
    <w:p w14:paraId="6017FD54" w14:textId="6B2AC515" w:rsidR="00300032" w:rsidRPr="00571093" w:rsidRDefault="00300032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Scree</w:t>
      </w:r>
      <w:r w:rsidR="002E2474" w:rsidRPr="00571093">
        <w:rPr>
          <w:rFonts w:cstheme="minorHAnsi"/>
        </w:rPr>
        <w:t>n all families for social risks and social support using a standardized tool</w:t>
      </w:r>
      <w:r w:rsidR="00984CD7" w:rsidRPr="00984CD7">
        <w:rPr>
          <w:rFonts w:ascii="Calibri" w:hAnsi="Calibri" w:cs="Calibri"/>
          <w:szCs w:val="24"/>
          <w:vertAlign w:val="superscript"/>
        </w:rPr>
        <w:t>22–29</w:t>
      </w:r>
      <w:r w:rsidR="004643F9">
        <w:rPr>
          <w:rFonts w:cstheme="minorHAnsi"/>
        </w:rPr>
        <w:t xml:space="preserve"> </w:t>
      </w:r>
    </w:p>
    <w:p w14:paraId="57105D95" w14:textId="221CBF46" w:rsidR="00CD0A1D" w:rsidRPr="00571093" w:rsidRDefault="00CD0A1D" w:rsidP="00CD0A1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Use electronic health records to identify patterns and inform clinical decisions</w:t>
      </w:r>
      <w:r w:rsidR="00984CD7" w:rsidRPr="00984CD7">
        <w:rPr>
          <w:rFonts w:ascii="Calibri" w:hAnsi="Calibri" w:cs="Calibri"/>
          <w:szCs w:val="24"/>
          <w:vertAlign w:val="superscript"/>
        </w:rPr>
        <w:t>27,30–32</w:t>
      </w:r>
    </w:p>
    <w:p w14:paraId="26F859D3" w14:textId="2A1C4BDA" w:rsidR="002F044C" w:rsidRPr="00571093" w:rsidRDefault="002F044C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Include a social worker or other </w:t>
      </w:r>
      <w:r w:rsidR="00120E72" w:rsidRPr="00571093">
        <w:rPr>
          <w:rFonts w:cstheme="minorHAnsi"/>
        </w:rPr>
        <w:t>social health</w:t>
      </w:r>
      <w:r w:rsidRPr="00571093">
        <w:rPr>
          <w:rFonts w:cstheme="minorHAnsi"/>
        </w:rPr>
        <w:t xml:space="preserve"> professional on the team</w:t>
      </w:r>
      <w:r w:rsidR="00984CD7" w:rsidRPr="00984CD7">
        <w:rPr>
          <w:rFonts w:ascii="Calibri" w:hAnsi="Calibri" w:cs="Calibri"/>
          <w:szCs w:val="24"/>
          <w:vertAlign w:val="superscript"/>
        </w:rPr>
        <w:t>33,34</w:t>
      </w:r>
      <w:r w:rsidR="004643F9">
        <w:rPr>
          <w:rFonts w:cstheme="minorHAnsi"/>
        </w:rPr>
        <w:t xml:space="preserve"> </w:t>
      </w:r>
    </w:p>
    <w:p w14:paraId="209AC4E0" w14:textId="1006AFD4" w:rsidR="002F044C" w:rsidRPr="00571093" w:rsidRDefault="002F044C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bookmarkStart w:id="0" w:name="_Hlk513725189"/>
      <w:r w:rsidRPr="00571093">
        <w:rPr>
          <w:rFonts w:cstheme="minorHAnsi"/>
        </w:rPr>
        <w:t>Create alliances with community organizations</w:t>
      </w:r>
      <w:bookmarkEnd w:id="0"/>
      <w:r w:rsidR="009A1BB2" w:rsidRPr="00571093">
        <w:rPr>
          <w:rFonts w:cstheme="minorHAnsi"/>
        </w:rPr>
        <w:t xml:space="preserve"> (clinical-community partnerships)</w:t>
      </w:r>
      <w:r w:rsidR="00984CD7" w:rsidRPr="00984CD7">
        <w:rPr>
          <w:rFonts w:ascii="Calibri" w:hAnsi="Calibri" w:cs="Calibri"/>
          <w:szCs w:val="24"/>
          <w:vertAlign w:val="superscript"/>
        </w:rPr>
        <w:t>35–44</w:t>
      </w:r>
      <w:r w:rsidR="008F6166" w:rsidRPr="00571093">
        <w:rPr>
          <w:rFonts w:cstheme="minorHAnsi"/>
        </w:rPr>
        <w:t xml:space="preserve"> </w:t>
      </w:r>
    </w:p>
    <w:p w14:paraId="423CF58C" w14:textId="4BB45DFF" w:rsidR="008F6166" w:rsidRPr="00571093" w:rsidRDefault="002F044C" w:rsidP="00FE304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Include a paralegal or attorney on the team</w:t>
      </w:r>
      <w:r w:rsidR="00984CD7" w:rsidRPr="00984CD7">
        <w:rPr>
          <w:rFonts w:ascii="Calibri" w:hAnsi="Calibri" w:cs="Calibri"/>
          <w:szCs w:val="24"/>
          <w:vertAlign w:val="superscript"/>
        </w:rPr>
        <w:t>45–47</w:t>
      </w:r>
      <w:r w:rsidR="004643F9">
        <w:rPr>
          <w:rFonts w:cstheme="minorHAnsi"/>
        </w:rPr>
        <w:t xml:space="preserve"> </w:t>
      </w:r>
    </w:p>
    <w:p w14:paraId="76765960" w14:textId="788D4D9D" w:rsidR="002F044C" w:rsidRPr="00571093" w:rsidRDefault="002F044C" w:rsidP="00FE304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parenting and family support</w:t>
      </w:r>
      <w:r w:rsidR="00EB4FCE" w:rsidRPr="00571093">
        <w:rPr>
          <w:rFonts w:cstheme="minorHAnsi"/>
        </w:rPr>
        <w:t xml:space="preserve"> tailored to individual family strengths and needs</w:t>
      </w:r>
      <w:r w:rsidR="002E07FE" w:rsidRPr="002E07FE">
        <w:rPr>
          <w:rFonts w:ascii="Calibri" w:hAnsi="Calibri" w:cs="Calibri"/>
          <w:szCs w:val="24"/>
          <w:vertAlign w:val="superscript"/>
        </w:rPr>
        <w:t>48–51</w:t>
      </w:r>
      <w:r w:rsidR="004643F9">
        <w:rPr>
          <w:rFonts w:cstheme="minorHAnsi"/>
        </w:rPr>
        <w:t xml:space="preserve"> </w:t>
      </w:r>
    </w:p>
    <w:p w14:paraId="354FA7E5" w14:textId="37F69C64" w:rsidR="002F044C" w:rsidRPr="00571093" w:rsidRDefault="002F044C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Provide mental health services for families during the </w:t>
      </w:r>
      <w:r w:rsidR="004643F9">
        <w:rPr>
          <w:rFonts w:cstheme="minorHAnsi"/>
        </w:rPr>
        <w:t>hospital</w:t>
      </w:r>
      <w:r w:rsidRPr="00571093">
        <w:rPr>
          <w:rFonts w:cstheme="minorHAnsi"/>
        </w:rPr>
        <w:t xml:space="preserve"> stay</w:t>
      </w:r>
      <w:r w:rsidR="002E07FE" w:rsidRPr="002E07FE">
        <w:rPr>
          <w:rFonts w:ascii="Calibri" w:hAnsi="Calibri" w:cs="Calibri"/>
          <w:szCs w:val="24"/>
          <w:vertAlign w:val="superscript"/>
        </w:rPr>
        <w:t>52–57</w:t>
      </w:r>
      <w:r w:rsidR="001063E5" w:rsidRPr="00571093">
        <w:rPr>
          <w:rFonts w:cstheme="minorHAnsi"/>
        </w:rPr>
        <w:t xml:space="preserve"> </w:t>
      </w:r>
    </w:p>
    <w:p w14:paraId="4BE8C4F2" w14:textId="72173E69" w:rsidR="002E2474" w:rsidRPr="00571093" w:rsidRDefault="002E2474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Provide referrals </w:t>
      </w:r>
      <w:r w:rsidR="00887378" w:rsidRPr="00571093">
        <w:rPr>
          <w:rFonts w:cstheme="minorHAnsi"/>
        </w:rPr>
        <w:t xml:space="preserve">for </w:t>
      </w:r>
      <w:r w:rsidR="00D47911" w:rsidRPr="00571093">
        <w:rPr>
          <w:rFonts w:cstheme="minorHAnsi"/>
        </w:rPr>
        <w:t xml:space="preserve">drugs, alcohol, and smoking cessation </w:t>
      </w:r>
      <w:r w:rsidR="00887378" w:rsidRPr="00571093">
        <w:rPr>
          <w:rFonts w:cstheme="minorHAnsi"/>
        </w:rPr>
        <w:t xml:space="preserve">counseling and </w:t>
      </w:r>
      <w:r w:rsidRPr="00571093">
        <w:rPr>
          <w:rFonts w:cstheme="minorHAnsi"/>
        </w:rPr>
        <w:t>treatment</w:t>
      </w:r>
      <w:r w:rsidR="002E07FE" w:rsidRPr="002E07FE">
        <w:rPr>
          <w:rFonts w:ascii="Calibri" w:hAnsi="Calibri" w:cs="Calibri"/>
          <w:szCs w:val="24"/>
          <w:vertAlign w:val="superscript"/>
        </w:rPr>
        <w:t>58–63</w:t>
      </w:r>
      <w:r w:rsidR="004643F9">
        <w:rPr>
          <w:rFonts w:cstheme="minorHAnsi"/>
        </w:rPr>
        <w:t xml:space="preserve"> </w:t>
      </w:r>
    </w:p>
    <w:p w14:paraId="3BD86011" w14:textId="1A981923" w:rsidR="002F044C" w:rsidRPr="00571093" w:rsidRDefault="002F044C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housing, meals, and transportation</w:t>
      </w:r>
      <w:r w:rsidR="00CF00E2" w:rsidRPr="00571093">
        <w:rPr>
          <w:rFonts w:cstheme="minorHAnsi"/>
        </w:rPr>
        <w:t xml:space="preserve"> vouchers</w:t>
      </w:r>
      <w:r w:rsidRPr="00571093">
        <w:rPr>
          <w:rFonts w:cstheme="minorHAnsi"/>
        </w:rPr>
        <w:t xml:space="preserve"> for families</w:t>
      </w:r>
      <w:r w:rsidR="002E07FE" w:rsidRPr="002E07FE">
        <w:rPr>
          <w:rFonts w:ascii="Calibri" w:hAnsi="Calibri" w:cs="Calibri"/>
          <w:szCs w:val="24"/>
          <w:vertAlign w:val="superscript"/>
        </w:rPr>
        <w:t>64–70</w:t>
      </w:r>
      <w:r w:rsidR="00DC094F">
        <w:rPr>
          <w:rFonts w:cstheme="minorHAnsi"/>
        </w:rPr>
        <w:t xml:space="preserve"> </w:t>
      </w:r>
    </w:p>
    <w:p w14:paraId="54C13309" w14:textId="6941C4D7" w:rsidR="00131FCA" w:rsidRPr="00571093" w:rsidRDefault="00131FCA" w:rsidP="00131FC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back to sleep education</w:t>
      </w:r>
      <w:r w:rsidR="002E07FE" w:rsidRPr="002E07FE">
        <w:rPr>
          <w:rFonts w:ascii="Calibri" w:hAnsi="Calibri" w:cs="Calibri"/>
          <w:szCs w:val="24"/>
          <w:vertAlign w:val="superscript"/>
        </w:rPr>
        <w:t>71–80</w:t>
      </w:r>
    </w:p>
    <w:p w14:paraId="3FD68228" w14:textId="3B05465E" w:rsidR="001A322A" w:rsidRPr="00571093" w:rsidRDefault="001A322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sibling care for families</w:t>
      </w:r>
      <w:r w:rsidR="002E07FE" w:rsidRPr="002E07FE">
        <w:rPr>
          <w:rFonts w:ascii="Calibri" w:hAnsi="Calibri" w:cs="Calibri"/>
          <w:szCs w:val="24"/>
          <w:vertAlign w:val="superscript"/>
        </w:rPr>
        <w:t>81,82</w:t>
      </w:r>
      <w:r w:rsidR="00DC094F">
        <w:rPr>
          <w:rFonts w:cstheme="minorHAnsi"/>
        </w:rPr>
        <w:t xml:space="preserve"> </w:t>
      </w:r>
    </w:p>
    <w:p w14:paraId="11903B87" w14:textId="1B536039" w:rsidR="002F044C" w:rsidRPr="00571093" w:rsidRDefault="008F7CA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Practice family</w:t>
      </w:r>
      <w:r w:rsidR="0035635C">
        <w:rPr>
          <w:rFonts w:cstheme="minorHAnsi"/>
        </w:rPr>
        <w:t>-</w:t>
      </w:r>
      <w:r w:rsidRPr="00571093">
        <w:rPr>
          <w:rFonts w:cstheme="minorHAnsi"/>
        </w:rPr>
        <w:t>integrated care tailored to the capabilities and needs of families</w:t>
      </w:r>
      <w:r w:rsidR="002E07FE" w:rsidRPr="002E07FE">
        <w:rPr>
          <w:rFonts w:ascii="Calibri" w:hAnsi="Calibri" w:cs="Calibri"/>
          <w:szCs w:val="24"/>
          <w:vertAlign w:val="superscript"/>
        </w:rPr>
        <w:t>51,83–85</w:t>
      </w:r>
    </w:p>
    <w:p w14:paraId="3E838EF8" w14:textId="3C1A3240" w:rsidR="00EF585B" w:rsidRPr="00571093" w:rsidRDefault="00EF585B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trauma-informed care</w:t>
      </w:r>
      <w:r w:rsidR="002E07FE" w:rsidRPr="002E07FE">
        <w:rPr>
          <w:rFonts w:ascii="Calibri" w:hAnsi="Calibri" w:cs="Calibri"/>
          <w:szCs w:val="24"/>
          <w:vertAlign w:val="superscript"/>
        </w:rPr>
        <w:t>51,86,87</w:t>
      </w:r>
    </w:p>
    <w:p w14:paraId="44242D1E" w14:textId="03BBF3DB" w:rsidR="00A11C0B" w:rsidRPr="00571093" w:rsidRDefault="00E024D5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lactation support using peer counsellors and other approaches</w:t>
      </w:r>
      <w:r w:rsidR="002E07FE" w:rsidRPr="002E07FE">
        <w:rPr>
          <w:rFonts w:ascii="Calibri" w:hAnsi="Calibri" w:cs="Calibri"/>
          <w:szCs w:val="24"/>
          <w:vertAlign w:val="superscript"/>
        </w:rPr>
        <w:t>88–99</w:t>
      </w:r>
    </w:p>
    <w:p w14:paraId="1F9BE5A4" w14:textId="3ACDA730" w:rsidR="004D10CE" w:rsidRPr="00571093" w:rsidRDefault="004D10CE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Assess eligibility for </w:t>
      </w:r>
      <w:r w:rsidR="0035635C" w:rsidRPr="001D013F">
        <w:rPr>
          <w:rFonts w:cstheme="minorHAnsi"/>
        </w:rPr>
        <w:t>Supplemental Security Income, Supplemental Nutrition Program for Women, Infants, and Children</w:t>
      </w:r>
      <w:r w:rsidR="000E70E4">
        <w:rPr>
          <w:rFonts w:cstheme="minorHAnsi"/>
        </w:rPr>
        <w:t>,</w:t>
      </w:r>
      <w:r w:rsidRPr="00571093">
        <w:rPr>
          <w:rFonts w:cstheme="minorHAnsi"/>
        </w:rPr>
        <w:t xml:space="preserve"> </w:t>
      </w:r>
      <w:r w:rsidR="00542992">
        <w:rPr>
          <w:rFonts w:cstheme="minorHAnsi"/>
        </w:rPr>
        <w:t xml:space="preserve">early intervention, </w:t>
      </w:r>
      <w:r w:rsidRPr="00571093">
        <w:rPr>
          <w:rFonts w:cstheme="minorHAnsi"/>
        </w:rPr>
        <w:t>and other public benefits</w:t>
      </w:r>
      <w:r w:rsidR="002E07FE" w:rsidRPr="002E07FE">
        <w:rPr>
          <w:rFonts w:ascii="Calibri" w:hAnsi="Calibri" w:cs="Calibri"/>
          <w:szCs w:val="24"/>
          <w:vertAlign w:val="superscript"/>
        </w:rPr>
        <w:t>100–103</w:t>
      </w:r>
    </w:p>
    <w:p w14:paraId="42CC0F15" w14:textId="353B2E04" w:rsidR="000C0509" w:rsidRPr="00571093" w:rsidRDefault="0012371C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Provide language support and </w:t>
      </w:r>
      <w:r w:rsidR="002E2474" w:rsidRPr="00571093">
        <w:rPr>
          <w:rFonts w:cstheme="minorHAnsi"/>
        </w:rPr>
        <w:t xml:space="preserve">culturally appropriate </w:t>
      </w:r>
      <w:r w:rsidRPr="00571093">
        <w:rPr>
          <w:rFonts w:cstheme="minorHAnsi"/>
        </w:rPr>
        <w:t>translation services for families</w:t>
      </w:r>
      <w:r w:rsidR="002E07FE" w:rsidRPr="002E07FE">
        <w:rPr>
          <w:rFonts w:ascii="Calibri" w:hAnsi="Calibri" w:cs="Calibri"/>
          <w:szCs w:val="24"/>
          <w:vertAlign w:val="superscript"/>
        </w:rPr>
        <w:t>104–107</w:t>
      </w:r>
    </w:p>
    <w:p w14:paraId="0FDF0778" w14:textId="77777777" w:rsidR="0042015E" w:rsidRPr="00571093" w:rsidRDefault="0042015E" w:rsidP="0042015E">
      <w:pPr>
        <w:pStyle w:val="ListParagraph"/>
        <w:spacing w:after="0"/>
        <w:rPr>
          <w:rFonts w:cstheme="minorHAnsi"/>
        </w:rPr>
      </w:pPr>
    </w:p>
    <w:p w14:paraId="6D48D7BA" w14:textId="77777777" w:rsidR="0035635C" w:rsidRPr="001D013F" w:rsidRDefault="0035635C" w:rsidP="0035635C">
      <w:pPr>
        <w:spacing w:after="0"/>
        <w:rPr>
          <w:rFonts w:cstheme="minorHAnsi"/>
          <w:b/>
        </w:rPr>
      </w:pPr>
      <w:bookmarkStart w:id="1" w:name="_Hlk5783345"/>
      <w:r w:rsidRPr="001D013F">
        <w:rPr>
          <w:rFonts w:cstheme="minorHAnsi"/>
          <w:b/>
        </w:rPr>
        <w:t>III. Take Action to Assist Families After Discharge (Transition to Home)</w:t>
      </w:r>
    </w:p>
    <w:p w14:paraId="1256F581" w14:textId="77777777" w:rsidR="0042015E" w:rsidRPr="00571093" w:rsidRDefault="0042015E" w:rsidP="0047584C">
      <w:pPr>
        <w:spacing w:after="0"/>
        <w:rPr>
          <w:rFonts w:cstheme="minorHAnsi"/>
          <w:b/>
        </w:rPr>
      </w:pPr>
    </w:p>
    <w:bookmarkEnd w:id="1"/>
    <w:p w14:paraId="4527BFFA" w14:textId="7CE2B9D9" w:rsidR="004623D0" w:rsidRPr="00571093" w:rsidRDefault="001C5587" w:rsidP="00FE304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Provide discharge education </w:t>
      </w:r>
      <w:r w:rsidR="001A1E73" w:rsidRPr="00571093">
        <w:rPr>
          <w:rFonts w:cstheme="minorHAnsi"/>
        </w:rPr>
        <w:t xml:space="preserve">and planning </w:t>
      </w:r>
      <w:r w:rsidRPr="00571093">
        <w:rPr>
          <w:rFonts w:cstheme="minorHAnsi"/>
        </w:rPr>
        <w:t>tailored to each family’s needs</w:t>
      </w:r>
      <w:r w:rsidR="00CA57F9" w:rsidRPr="00CA57F9">
        <w:rPr>
          <w:rFonts w:ascii="Calibri" w:hAnsi="Calibri" w:cs="Calibri"/>
          <w:szCs w:val="24"/>
          <w:vertAlign w:val="superscript"/>
        </w:rPr>
        <w:t>51,106,108–113</w:t>
      </w:r>
    </w:p>
    <w:p w14:paraId="682716E4" w14:textId="3FF07A54" w:rsidR="00FE304F" w:rsidRPr="00571093" w:rsidRDefault="00FE304F" w:rsidP="00FE304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Begin discharge planning and teaching at admission</w:t>
      </w:r>
      <w:r w:rsidR="00CA57F9" w:rsidRPr="00CA57F9">
        <w:rPr>
          <w:rFonts w:ascii="Calibri" w:hAnsi="Calibri" w:cs="Calibri"/>
          <w:szCs w:val="24"/>
          <w:vertAlign w:val="superscript"/>
        </w:rPr>
        <w:t>114</w:t>
      </w:r>
    </w:p>
    <w:p w14:paraId="3EA61B8B" w14:textId="42B74CB2" w:rsidR="00FE304F" w:rsidRPr="00571093" w:rsidRDefault="00FE304F" w:rsidP="00FE304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Estimate discharge date at admission and revise regularly during the stay</w:t>
      </w:r>
      <w:r w:rsidR="00CA57F9" w:rsidRPr="00CA57F9">
        <w:rPr>
          <w:rFonts w:ascii="Calibri" w:hAnsi="Calibri" w:cs="Calibri"/>
          <w:szCs w:val="24"/>
          <w:vertAlign w:val="superscript"/>
        </w:rPr>
        <w:t>115–117</w:t>
      </w:r>
    </w:p>
    <w:p w14:paraId="183F8E22" w14:textId="10476F05" w:rsidR="00D74206" w:rsidRPr="00571093" w:rsidRDefault="00D74206" w:rsidP="00FE304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Implement a medical home model for patients and families</w:t>
      </w:r>
      <w:r w:rsidR="00CA57F9" w:rsidRPr="00CA57F9">
        <w:rPr>
          <w:rFonts w:ascii="Calibri" w:hAnsi="Calibri" w:cs="Calibri"/>
          <w:szCs w:val="24"/>
          <w:vertAlign w:val="superscript"/>
        </w:rPr>
        <w:t>118–123</w:t>
      </w:r>
    </w:p>
    <w:p w14:paraId="0A0C11A2" w14:textId="21434F42" w:rsidR="00FE304F" w:rsidRPr="00571093" w:rsidRDefault="00FE304F" w:rsidP="00FE304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Establish effective communications with the primary care provider</w:t>
      </w:r>
      <w:r w:rsidR="00CA57F9" w:rsidRPr="00CA57F9">
        <w:rPr>
          <w:rFonts w:ascii="Calibri" w:hAnsi="Calibri" w:cs="Calibri"/>
          <w:szCs w:val="24"/>
          <w:vertAlign w:val="superscript"/>
        </w:rPr>
        <w:t>122</w:t>
      </w:r>
    </w:p>
    <w:p w14:paraId="51C25B05" w14:textId="0F8E9E13" w:rsidR="002B05A1" w:rsidRPr="00571093" w:rsidRDefault="002B05A1" w:rsidP="00D742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Create a health coach program</w:t>
      </w:r>
      <w:r w:rsidR="00CA57F9" w:rsidRPr="00CA57F9">
        <w:rPr>
          <w:rFonts w:ascii="Calibri" w:hAnsi="Calibri" w:cs="Calibri"/>
          <w:szCs w:val="24"/>
          <w:vertAlign w:val="superscript"/>
        </w:rPr>
        <w:t>124</w:t>
      </w:r>
    </w:p>
    <w:p w14:paraId="281FF3D9" w14:textId="130AAA46" w:rsidR="006A6749" w:rsidRPr="00571093" w:rsidRDefault="006A6749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Connect families with appropriate community organizations and services</w:t>
      </w:r>
      <w:r w:rsidR="00CA57F9" w:rsidRPr="00CA57F9">
        <w:rPr>
          <w:rFonts w:ascii="Calibri" w:hAnsi="Calibri" w:cs="Calibri"/>
          <w:szCs w:val="24"/>
          <w:vertAlign w:val="superscript"/>
        </w:rPr>
        <w:t>18,103,125–129</w:t>
      </w:r>
    </w:p>
    <w:p w14:paraId="655166B7" w14:textId="0B186E56" w:rsidR="000E0F04" w:rsidRPr="00571093" w:rsidRDefault="000E0F04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Screen for developmental risk</w:t>
      </w:r>
      <w:r w:rsidR="00CA57F9" w:rsidRPr="00CA57F9">
        <w:rPr>
          <w:rFonts w:ascii="Calibri" w:hAnsi="Calibri" w:cs="Calibri"/>
          <w:szCs w:val="24"/>
          <w:vertAlign w:val="superscript"/>
        </w:rPr>
        <w:t>130</w:t>
      </w:r>
    </w:p>
    <w:p w14:paraId="68CF6B49" w14:textId="40F91E54" w:rsidR="008722B1" w:rsidRPr="00571093" w:rsidRDefault="008722B1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high</w:t>
      </w:r>
      <w:r w:rsidR="0035635C">
        <w:rPr>
          <w:rFonts w:cstheme="minorHAnsi"/>
        </w:rPr>
        <w:t>-</w:t>
      </w:r>
      <w:r w:rsidRPr="00571093">
        <w:rPr>
          <w:rFonts w:cstheme="minorHAnsi"/>
        </w:rPr>
        <w:t>risk infant follow u</w:t>
      </w:r>
      <w:r w:rsidR="00D66884" w:rsidRPr="00571093">
        <w:rPr>
          <w:rFonts w:cstheme="minorHAnsi"/>
        </w:rPr>
        <w:t>p</w:t>
      </w:r>
      <w:r w:rsidR="00CA57F9" w:rsidRPr="00CA57F9">
        <w:rPr>
          <w:rFonts w:ascii="Calibri" w:hAnsi="Calibri" w:cs="Calibri"/>
          <w:szCs w:val="24"/>
          <w:vertAlign w:val="superscript"/>
        </w:rPr>
        <w:t>130–137</w:t>
      </w:r>
    </w:p>
    <w:p w14:paraId="4BD5E707" w14:textId="354392A8" w:rsidR="008F7CAA" w:rsidRPr="00571093" w:rsidRDefault="008F7CA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bookmarkStart w:id="2" w:name="_Hlk44062767"/>
      <w:r w:rsidRPr="00571093">
        <w:rPr>
          <w:rFonts w:cstheme="minorHAnsi"/>
        </w:rPr>
        <w:lastRenderedPageBreak/>
        <w:t>Conduct home visit</w:t>
      </w:r>
      <w:r w:rsidR="00EE3C15">
        <w:rPr>
          <w:rFonts w:cstheme="minorHAnsi"/>
        </w:rPr>
        <w:t>s</w:t>
      </w:r>
      <w:r w:rsidRPr="00571093">
        <w:rPr>
          <w:rFonts w:cstheme="minorHAnsi"/>
        </w:rPr>
        <w:t xml:space="preserve"> before discharge and at intervals after </w:t>
      </w:r>
      <w:bookmarkEnd w:id="2"/>
      <w:r w:rsidRPr="00571093">
        <w:rPr>
          <w:rFonts w:cstheme="minorHAnsi"/>
        </w:rPr>
        <w:t>discharg</w:t>
      </w:r>
      <w:r w:rsidR="00085C03" w:rsidRPr="00571093">
        <w:rPr>
          <w:rFonts w:cstheme="minorHAnsi"/>
        </w:rPr>
        <w:t>e</w:t>
      </w:r>
      <w:r w:rsidR="00CA57F9" w:rsidRPr="00CA57F9">
        <w:rPr>
          <w:rFonts w:ascii="Calibri" w:hAnsi="Calibri" w:cs="Calibri"/>
          <w:szCs w:val="24"/>
          <w:vertAlign w:val="superscript"/>
        </w:rPr>
        <w:t>51,138–144</w:t>
      </w:r>
    </w:p>
    <w:p w14:paraId="680CCBD6" w14:textId="5A8F1862" w:rsidR="008F7CAA" w:rsidRPr="00571093" w:rsidRDefault="008F7CA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Facilitate parent support groups </w:t>
      </w:r>
      <w:r w:rsidR="004878A6" w:rsidRPr="00571093">
        <w:rPr>
          <w:rFonts w:cstheme="minorHAnsi"/>
        </w:rPr>
        <w:t xml:space="preserve">and peer counseling </w:t>
      </w:r>
      <w:r w:rsidRPr="00571093">
        <w:rPr>
          <w:rFonts w:cstheme="minorHAnsi"/>
        </w:rPr>
        <w:t>that extend beyond the stay</w:t>
      </w:r>
      <w:r w:rsidR="002E07FE" w:rsidRPr="002E07FE">
        <w:rPr>
          <w:rFonts w:ascii="Calibri" w:hAnsi="Calibri" w:cs="Calibri"/>
          <w:szCs w:val="24"/>
          <w:vertAlign w:val="superscript"/>
        </w:rPr>
        <w:t>88,98</w:t>
      </w:r>
    </w:p>
    <w:p w14:paraId="4DF4B7D8" w14:textId="1F8FAB1B" w:rsidR="008F7CAA" w:rsidRPr="00571093" w:rsidRDefault="008F7CA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Implement strategies to identify and minimize risk for readmission</w:t>
      </w:r>
      <w:r w:rsidR="00CA57F9" w:rsidRPr="00CA57F9">
        <w:rPr>
          <w:rFonts w:ascii="Calibri" w:hAnsi="Calibri" w:cs="Calibri"/>
          <w:szCs w:val="24"/>
          <w:vertAlign w:val="superscript"/>
        </w:rPr>
        <w:t>145–151</w:t>
      </w:r>
    </w:p>
    <w:p w14:paraId="3866722F" w14:textId="0132C16B" w:rsidR="006A74C3" w:rsidRPr="00571093" w:rsidRDefault="006A74C3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telehealth support after discharg</w:t>
      </w:r>
      <w:r w:rsidR="00FF23BF" w:rsidRPr="00571093">
        <w:rPr>
          <w:rFonts w:cstheme="minorHAnsi"/>
        </w:rPr>
        <w:t>e</w:t>
      </w:r>
      <w:r w:rsidR="00CA57F9" w:rsidRPr="00CA57F9">
        <w:rPr>
          <w:rFonts w:ascii="Calibri" w:hAnsi="Calibri" w:cs="Calibri"/>
          <w:szCs w:val="24"/>
          <w:vertAlign w:val="superscript"/>
        </w:rPr>
        <w:t>152–157</w:t>
      </w:r>
    </w:p>
    <w:p w14:paraId="403DB0E9" w14:textId="55DD7878" w:rsidR="002F044C" w:rsidRPr="00571093" w:rsidRDefault="008F7CA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Use technology and social media to support families</w:t>
      </w:r>
      <w:r w:rsidR="00CA57F9" w:rsidRPr="00CA57F9">
        <w:rPr>
          <w:rFonts w:ascii="Calibri" w:hAnsi="Calibri" w:cs="Calibri"/>
          <w:szCs w:val="24"/>
          <w:vertAlign w:val="superscript"/>
        </w:rPr>
        <w:t>158–167</w:t>
      </w:r>
    </w:p>
    <w:p w14:paraId="19B8B383" w14:textId="322B5A14" w:rsidR="008F7CAA" w:rsidRPr="00571093" w:rsidRDefault="008F7CA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Facilitate access to all necessary clinical specialists after discharge</w:t>
      </w:r>
      <w:r w:rsidR="00CA57F9" w:rsidRPr="00CA57F9">
        <w:rPr>
          <w:rFonts w:ascii="Calibri" w:hAnsi="Calibri" w:cs="Calibri"/>
          <w:szCs w:val="24"/>
          <w:vertAlign w:val="superscript"/>
        </w:rPr>
        <w:t>122,136</w:t>
      </w:r>
    </w:p>
    <w:p w14:paraId="5DCB6C66" w14:textId="25CFB57C" w:rsidR="008F7CAA" w:rsidRPr="00571093" w:rsidRDefault="008F7CA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Provide reminders to facilitate </w:t>
      </w:r>
      <w:r w:rsidR="007567EF" w:rsidRPr="00571093">
        <w:rPr>
          <w:rFonts w:cstheme="minorHAnsi"/>
        </w:rPr>
        <w:t>health behaviors and keeping of appointments</w:t>
      </w:r>
      <w:r w:rsidR="00CA57F9" w:rsidRPr="00CA57F9">
        <w:rPr>
          <w:rFonts w:ascii="Calibri" w:hAnsi="Calibri" w:cs="Calibri"/>
          <w:szCs w:val="24"/>
          <w:vertAlign w:val="superscript"/>
        </w:rPr>
        <w:t>79,168–171</w:t>
      </w:r>
    </w:p>
    <w:p w14:paraId="1CCEA87E" w14:textId="045344D2" w:rsidR="00D47911" w:rsidRPr="00571093" w:rsidRDefault="00AB7B02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Provide mental health </w:t>
      </w:r>
      <w:r w:rsidR="002E2474" w:rsidRPr="00571093">
        <w:rPr>
          <w:rFonts w:cstheme="minorHAnsi"/>
        </w:rPr>
        <w:t xml:space="preserve">and addiction </w:t>
      </w:r>
      <w:r w:rsidRPr="00571093">
        <w:rPr>
          <w:rFonts w:cstheme="minorHAnsi"/>
        </w:rPr>
        <w:t>services for families after the stay</w:t>
      </w:r>
      <w:r w:rsidR="00CA57F9" w:rsidRPr="00CA57F9">
        <w:rPr>
          <w:rFonts w:ascii="Calibri" w:hAnsi="Calibri" w:cs="Calibri"/>
          <w:szCs w:val="24"/>
          <w:vertAlign w:val="superscript"/>
        </w:rPr>
        <w:t>54,57,172</w:t>
      </w:r>
    </w:p>
    <w:p w14:paraId="6893EC1B" w14:textId="789A9F08" w:rsidR="00A75EB8" w:rsidRPr="00571093" w:rsidRDefault="00D47911" w:rsidP="00A75EB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family planning education and contraception referral</w:t>
      </w:r>
      <w:r w:rsidR="00CA57F9" w:rsidRPr="00CA57F9">
        <w:rPr>
          <w:rFonts w:ascii="Calibri" w:hAnsi="Calibri" w:cs="Calibri"/>
          <w:szCs w:val="24"/>
          <w:vertAlign w:val="superscript"/>
        </w:rPr>
        <w:t>173–178</w:t>
      </w:r>
    </w:p>
    <w:p w14:paraId="439F0CF0" w14:textId="52DB5258" w:rsidR="0042015E" w:rsidRPr="00571093" w:rsidRDefault="001F6E95" w:rsidP="00A75EB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Develop meaningful </w:t>
      </w:r>
      <w:proofErr w:type="gramStart"/>
      <w:r w:rsidRPr="00571093">
        <w:rPr>
          <w:rFonts w:cstheme="minorHAnsi"/>
        </w:rPr>
        <w:t>clinical-community</w:t>
      </w:r>
      <w:proofErr w:type="gramEnd"/>
      <w:r w:rsidRPr="00571093">
        <w:rPr>
          <w:rFonts w:cstheme="minorHAnsi"/>
        </w:rPr>
        <w:t xml:space="preserve"> partnerships</w:t>
      </w:r>
      <w:r w:rsidR="00984CD7" w:rsidRPr="00984CD7">
        <w:rPr>
          <w:rFonts w:ascii="Calibri" w:hAnsi="Calibri" w:cs="Calibri"/>
          <w:szCs w:val="24"/>
          <w:vertAlign w:val="superscript"/>
        </w:rPr>
        <w:t>21</w:t>
      </w:r>
    </w:p>
    <w:p w14:paraId="5B5EA42B" w14:textId="77777777" w:rsidR="00A75EB8" w:rsidRPr="00571093" w:rsidRDefault="00A75EB8" w:rsidP="00A75EB8">
      <w:pPr>
        <w:pStyle w:val="ListParagraph"/>
        <w:spacing w:after="0"/>
        <w:rPr>
          <w:rFonts w:cstheme="minorHAnsi"/>
        </w:rPr>
      </w:pPr>
    </w:p>
    <w:p w14:paraId="324A1A31" w14:textId="673E338C" w:rsidR="0042015E" w:rsidRPr="00571093" w:rsidRDefault="00C945BD" w:rsidP="0029511B">
      <w:pPr>
        <w:rPr>
          <w:rFonts w:cstheme="minorHAnsi"/>
          <w:b/>
        </w:rPr>
      </w:pPr>
      <w:bookmarkStart w:id="3" w:name="_Hlk44063276"/>
      <w:r>
        <w:rPr>
          <w:rFonts w:cstheme="minorHAnsi"/>
          <w:b/>
        </w:rPr>
        <w:t>IV</w:t>
      </w:r>
      <w:r w:rsidR="00B3730A" w:rsidRPr="00D9755D">
        <w:rPr>
          <w:rFonts w:cstheme="minorHAnsi"/>
          <w:b/>
        </w:rPr>
        <w:t xml:space="preserve">. </w:t>
      </w:r>
      <w:r w:rsidR="00AB7B02" w:rsidRPr="00D9755D">
        <w:rPr>
          <w:rFonts w:cstheme="minorHAnsi"/>
          <w:b/>
        </w:rPr>
        <w:t xml:space="preserve"> </w:t>
      </w:r>
      <w:r w:rsidR="0034635C" w:rsidRPr="00D9755D">
        <w:rPr>
          <w:rFonts w:cstheme="minorHAnsi"/>
          <w:b/>
        </w:rPr>
        <w:t xml:space="preserve">Maintain </w:t>
      </w:r>
      <w:r w:rsidR="0035635C">
        <w:rPr>
          <w:rFonts w:cstheme="minorHAnsi"/>
          <w:b/>
        </w:rPr>
        <w:t>S</w:t>
      </w:r>
      <w:r w:rsidR="0034635C" w:rsidRPr="00D9755D">
        <w:rPr>
          <w:rFonts w:cstheme="minorHAnsi"/>
          <w:b/>
        </w:rPr>
        <w:t xml:space="preserve">upport for </w:t>
      </w:r>
      <w:r w:rsidR="0035635C">
        <w:rPr>
          <w:rFonts w:cstheme="minorHAnsi"/>
          <w:b/>
        </w:rPr>
        <w:t>F</w:t>
      </w:r>
      <w:r w:rsidR="00A44152" w:rsidRPr="00D9755D">
        <w:rPr>
          <w:rFonts w:cstheme="minorHAnsi"/>
          <w:b/>
        </w:rPr>
        <w:t xml:space="preserve">amilies through </w:t>
      </w:r>
      <w:r w:rsidR="0035635C">
        <w:rPr>
          <w:rFonts w:cstheme="minorHAnsi"/>
          <w:b/>
        </w:rPr>
        <w:t>I</w:t>
      </w:r>
      <w:r w:rsidR="00A44152" w:rsidRPr="00D9755D">
        <w:rPr>
          <w:rFonts w:cstheme="minorHAnsi"/>
          <w:b/>
        </w:rPr>
        <w:t>nfancy</w:t>
      </w:r>
    </w:p>
    <w:bookmarkEnd w:id="3"/>
    <w:p w14:paraId="15DFA65A" w14:textId="720AB237" w:rsidR="00FA2F2A" w:rsidRPr="00571093" w:rsidRDefault="00FA2F2A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Use parent coaches to support familie</w:t>
      </w:r>
      <w:r w:rsidR="001F5235" w:rsidRPr="00571093">
        <w:rPr>
          <w:rFonts w:cstheme="minorHAnsi"/>
        </w:rPr>
        <w:t>s</w:t>
      </w:r>
      <w:r w:rsidR="002E07FE" w:rsidRPr="002E07FE">
        <w:rPr>
          <w:rFonts w:ascii="Calibri" w:hAnsi="Calibri" w:cs="Calibri"/>
          <w:szCs w:val="24"/>
          <w:vertAlign w:val="superscript"/>
        </w:rPr>
        <w:t>98,99</w:t>
      </w:r>
    </w:p>
    <w:p w14:paraId="3FFD7794" w14:textId="2E58EA9C" w:rsidR="000E0F04" w:rsidRPr="00571093" w:rsidRDefault="000E0F04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evidence</w:t>
      </w:r>
      <w:r w:rsidR="0035635C">
        <w:rPr>
          <w:rFonts w:cstheme="minorHAnsi"/>
        </w:rPr>
        <w:t>-</w:t>
      </w:r>
      <w:r w:rsidRPr="00571093">
        <w:rPr>
          <w:rFonts w:cstheme="minorHAnsi"/>
        </w:rPr>
        <w:t>based early intervention programs</w:t>
      </w:r>
      <w:r w:rsidR="00CA57F9" w:rsidRPr="00CA57F9">
        <w:rPr>
          <w:rFonts w:ascii="Calibri" w:hAnsi="Calibri" w:cs="Calibri"/>
          <w:szCs w:val="24"/>
          <w:vertAlign w:val="superscript"/>
        </w:rPr>
        <w:t>103,179–184</w:t>
      </w:r>
    </w:p>
    <w:p w14:paraId="3D7688BE" w14:textId="01BDE7B0" w:rsidR="003C6A7A" w:rsidRPr="00571093" w:rsidRDefault="0035635C" w:rsidP="003C6A7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bookmarkStart w:id="4" w:name="_Hlk5783254"/>
      <w:r>
        <w:rPr>
          <w:rFonts w:cstheme="minorHAnsi"/>
        </w:rPr>
        <w:t>Use</w:t>
      </w:r>
      <w:r w:rsidR="003C6A7A" w:rsidRPr="00571093">
        <w:rPr>
          <w:rFonts w:cstheme="minorHAnsi"/>
        </w:rPr>
        <w:t xml:space="preserve"> </w:t>
      </w:r>
      <w:bookmarkEnd w:id="4"/>
      <w:r w:rsidR="00AB3B0D" w:rsidRPr="00571093">
        <w:rPr>
          <w:rFonts w:cstheme="minorHAnsi"/>
        </w:rPr>
        <w:t>innovative approaches to medical visits</w:t>
      </w:r>
      <w:r w:rsidR="00CA57F9" w:rsidRPr="00CA57F9">
        <w:rPr>
          <w:rFonts w:ascii="Calibri" w:hAnsi="Calibri" w:cs="Calibri"/>
          <w:szCs w:val="24"/>
          <w:vertAlign w:val="superscript"/>
        </w:rPr>
        <w:t>99,185–188</w:t>
      </w:r>
    </w:p>
    <w:p w14:paraId="79E13B09" w14:textId="2DEC38C6" w:rsidR="000E0F04" w:rsidRPr="00571093" w:rsidRDefault="000E0F04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Establish a reach out and read program for patient</w:t>
      </w:r>
      <w:r w:rsidR="002F1A14" w:rsidRPr="00571093">
        <w:rPr>
          <w:rFonts w:cstheme="minorHAnsi"/>
        </w:rPr>
        <w:t>s</w:t>
      </w:r>
      <w:r w:rsidRPr="00571093">
        <w:rPr>
          <w:rFonts w:cstheme="minorHAnsi"/>
        </w:rPr>
        <w:t xml:space="preserve"> and siblings</w:t>
      </w:r>
      <w:r w:rsidR="00CA57F9" w:rsidRPr="00CA57F9">
        <w:rPr>
          <w:rFonts w:ascii="Calibri" w:hAnsi="Calibri" w:cs="Calibri"/>
          <w:szCs w:val="24"/>
          <w:vertAlign w:val="superscript"/>
        </w:rPr>
        <w:t>189–194</w:t>
      </w:r>
    </w:p>
    <w:p w14:paraId="50A2B30B" w14:textId="6AAF646E" w:rsidR="000E0F04" w:rsidRPr="00571093" w:rsidRDefault="000E0F04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Provide </w:t>
      </w:r>
      <w:r w:rsidR="00591729" w:rsidRPr="00571093">
        <w:rPr>
          <w:rFonts w:cstheme="minorHAnsi"/>
        </w:rPr>
        <w:t xml:space="preserve">medical </w:t>
      </w:r>
      <w:r w:rsidR="00513F67" w:rsidRPr="00571093">
        <w:rPr>
          <w:rFonts w:cstheme="minorHAnsi"/>
        </w:rPr>
        <w:t xml:space="preserve">and </w:t>
      </w:r>
      <w:r w:rsidRPr="00571093">
        <w:rPr>
          <w:rFonts w:cstheme="minorHAnsi"/>
        </w:rPr>
        <w:t>developmental follow</w:t>
      </w:r>
      <w:r w:rsidR="0035635C">
        <w:rPr>
          <w:rFonts w:cstheme="minorHAnsi"/>
        </w:rPr>
        <w:t>-</w:t>
      </w:r>
      <w:r w:rsidRPr="00571093">
        <w:rPr>
          <w:rFonts w:cstheme="minorHAnsi"/>
        </w:rPr>
        <w:t>up</w:t>
      </w:r>
      <w:r w:rsidR="00CA57F9" w:rsidRPr="00CA57F9">
        <w:rPr>
          <w:rFonts w:ascii="Calibri" w:hAnsi="Calibri" w:cs="Calibri"/>
          <w:szCs w:val="24"/>
          <w:vertAlign w:val="superscript"/>
        </w:rPr>
        <w:t>130–137</w:t>
      </w:r>
    </w:p>
    <w:p w14:paraId="3841F6B3" w14:textId="7CF618AB" w:rsidR="00513F67" w:rsidRPr="00571093" w:rsidRDefault="00513F67" w:rsidP="00513F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Provide resources regarding available public benefits at follow-up visits</w:t>
      </w:r>
      <w:r w:rsidR="002E07FE" w:rsidRPr="002E07FE">
        <w:rPr>
          <w:rFonts w:ascii="Calibri" w:hAnsi="Calibri" w:cs="Calibri"/>
          <w:szCs w:val="24"/>
          <w:vertAlign w:val="superscript"/>
        </w:rPr>
        <w:t>100</w:t>
      </w:r>
    </w:p>
    <w:p w14:paraId="0CBB80B2" w14:textId="2EE3F738" w:rsidR="000E0F04" w:rsidRPr="00571093" w:rsidRDefault="000E0F04" w:rsidP="0047584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Establish partnerships with pre</w:t>
      </w:r>
      <w:r w:rsidR="003C6A7A" w:rsidRPr="00571093">
        <w:rPr>
          <w:rFonts w:cstheme="minorHAnsi"/>
        </w:rPr>
        <w:t>-</w:t>
      </w:r>
      <w:r w:rsidRPr="00571093">
        <w:rPr>
          <w:rFonts w:cstheme="minorHAnsi"/>
        </w:rPr>
        <w:t>K programs for patients and siblings</w:t>
      </w:r>
      <w:r w:rsidR="00CA57F9" w:rsidRPr="00CA57F9">
        <w:rPr>
          <w:rFonts w:ascii="Calibri" w:hAnsi="Calibri" w:cs="Calibri"/>
          <w:szCs w:val="24"/>
          <w:vertAlign w:val="superscript"/>
        </w:rPr>
        <w:t>195,196</w:t>
      </w:r>
    </w:p>
    <w:p w14:paraId="22959F4F" w14:textId="7751C53A" w:rsidR="001F6E95" w:rsidRPr="00571093" w:rsidRDefault="00591729" w:rsidP="006F1A3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Develop and support tools that </w:t>
      </w:r>
      <w:r w:rsidR="0035635C">
        <w:rPr>
          <w:rFonts w:cstheme="minorHAnsi"/>
        </w:rPr>
        <w:t>use</w:t>
      </w:r>
      <w:r w:rsidRPr="00571093">
        <w:rPr>
          <w:rFonts w:cstheme="minorHAnsi"/>
        </w:rPr>
        <w:t xml:space="preserve"> parent</w:t>
      </w:r>
      <w:r w:rsidR="0035635C">
        <w:rPr>
          <w:rFonts w:cstheme="minorHAnsi"/>
        </w:rPr>
        <w:t>-</w:t>
      </w:r>
      <w:r w:rsidRPr="00571093">
        <w:rPr>
          <w:rFonts w:cstheme="minorHAnsi"/>
        </w:rPr>
        <w:t>reported outcomes</w:t>
      </w:r>
      <w:r w:rsidR="00CA57F9" w:rsidRPr="00CA57F9">
        <w:rPr>
          <w:rFonts w:ascii="Calibri" w:hAnsi="Calibri" w:cs="Calibri"/>
          <w:szCs w:val="24"/>
          <w:vertAlign w:val="superscript"/>
        </w:rPr>
        <w:t>197</w:t>
      </w:r>
    </w:p>
    <w:p w14:paraId="288840F5" w14:textId="1437752E" w:rsidR="0047584C" w:rsidRDefault="001A1E73" w:rsidP="001A1E73">
      <w:pPr>
        <w:pStyle w:val="ListParagraph"/>
        <w:numPr>
          <w:ilvl w:val="0"/>
          <w:numId w:val="1"/>
        </w:numPr>
        <w:rPr>
          <w:rFonts w:cstheme="minorHAnsi"/>
        </w:rPr>
      </w:pPr>
      <w:r w:rsidRPr="00571093">
        <w:rPr>
          <w:rFonts w:cstheme="minorHAnsi"/>
        </w:rPr>
        <w:t xml:space="preserve">Provide access to </w:t>
      </w:r>
      <w:r w:rsidR="00F50ED3" w:rsidRPr="00571093">
        <w:rPr>
          <w:rFonts w:cstheme="minorHAnsi"/>
        </w:rPr>
        <w:t xml:space="preserve">quality </w:t>
      </w:r>
      <w:r w:rsidRPr="00571093">
        <w:rPr>
          <w:rFonts w:cstheme="minorHAnsi"/>
        </w:rPr>
        <w:t>high risk obstetrical care</w:t>
      </w:r>
      <w:r w:rsidR="00CA57F9" w:rsidRPr="00CA57F9">
        <w:rPr>
          <w:rFonts w:ascii="Calibri" w:hAnsi="Calibri" w:cs="Calibri"/>
          <w:szCs w:val="24"/>
          <w:vertAlign w:val="superscript"/>
        </w:rPr>
        <w:t>198–206</w:t>
      </w:r>
    </w:p>
    <w:p w14:paraId="08477D66" w14:textId="4AC61C6A" w:rsidR="007B30C9" w:rsidRPr="00571093" w:rsidRDefault="007B30C9" w:rsidP="001A1E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Launch a fruit and vegetable prescription program</w:t>
      </w:r>
      <w:r w:rsidR="00CA57F9" w:rsidRPr="00CA57F9">
        <w:rPr>
          <w:rFonts w:ascii="Calibri" w:hAnsi="Calibri" w:cs="Calibri"/>
          <w:szCs w:val="24"/>
          <w:vertAlign w:val="superscript"/>
        </w:rPr>
        <w:t>207–210</w:t>
      </w:r>
    </w:p>
    <w:p w14:paraId="4DAB5413" w14:textId="1EDC6AA0" w:rsidR="0035635C" w:rsidRDefault="0035635C" w:rsidP="0035635C">
      <w:pPr>
        <w:spacing w:after="0"/>
        <w:rPr>
          <w:rFonts w:cstheme="minorHAnsi"/>
          <w:b/>
        </w:rPr>
      </w:pPr>
      <w:r w:rsidRPr="0035635C">
        <w:rPr>
          <w:rFonts w:cstheme="minorHAnsi"/>
          <w:b/>
        </w:rPr>
        <w:t xml:space="preserve">V. Develop Robust Quality Improvement Efforts to Ensure Equitable, High-Quality Hospital and Follow-through Care to All Newborns by Eliminating Modifiable Disparities </w:t>
      </w:r>
    </w:p>
    <w:p w14:paraId="08F33F6A" w14:textId="77777777" w:rsidR="0035635C" w:rsidRPr="0035635C" w:rsidRDefault="0035635C" w:rsidP="0035635C">
      <w:pPr>
        <w:spacing w:after="0"/>
        <w:rPr>
          <w:rFonts w:cstheme="minorHAnsi"/>
          <w:b/>
        </w:rPr>
      </w:pPr>
    </w:p>
    <w:p w14:paraId="3E23AB14" w14:textId="1475816B" w:rsidR="002A3118" w:rsidRPr="00D9755D" w:rsidRDefault="002A3118" w:rsidP="001F6E95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D9755D">
        <w:rPr>
          <w:rFonts w:cstheme="minorHAnsi"/>
        </w:rPr>
        <w:t xml:space="preserve">Establish </w:t>
      </w:r>
      <w:r w:rsidR="00A44152" w:rsidRPr="00D9755D">
        <w:rPr>
          <w:rFonts w:cstheme="minorHAnsi"/>
        </w:rPr>
        <w:t>measurable improvement</w:t>
      </w:r>
      <w:r w:rsidRPr="00D9755D">
        <w:rPr>
          <w:rFonts w:cstheme="minorHAnsi"/>
        </w:rPr>
        <w:t xml:space="preserve"> </w:t>
      </w:r>
      <w:r w:rsidR="00F50ED3" w:rsidRPr="00D9755D">
        <w:rPr>
          <w:rFonts w:cstheme="minorHAnsi"/>
        </w:rPr>
        <w:t>a</w:t>
      </w:r>
      <w:r w:rsidRPr="00D9755D">
        <w:rPr>
          <w:rFonts w:cstheme="minorHAnsi"/>
        </w:rPr>
        <w:t>ims related to social determinants of health</w:t>
      </w:r>
      <w:r w:rsidR="00CA57F9" w:rsidRPr="00CA57F9">
        <w:rPr>
          <w:rFonts w:ascii="Calibri" w:hAnsi="Calibri" w:cs="Calibri"/>
          <w:szCs w:val="24"/>
          <w:vertAlign w:val="superscript"/>
        </w:rPr>
        <w:t>211–213</w:t>
      </w:r>
    </w:p>
    <w:p w14:paraId="3A317AAF" w14:textId="5DCCB434" w:rsidR="000908D6" w:rsidRPr="00571093" w:rsidRDefault="000908D6" w:rsidP="001F6E95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571093">
        <w:rPr>
          <w:rFonts w:cstheme="minorHAnsi"/>
        </w:rPr>
        <w:t>Adopt standardized measures for social determinants of health</w:t>
      </w:r>
      <w:r w:rsidR="00CA57F9" w:rsidRPr="00CA57F9">
        <w:rPr>
          <w:rFonts w:ascii="Calibri" w:hAnsi="Calibri" w:cs="Calibri"/>
          <w:szCs w:val="24"/>
          <w:vertAlign w:val="superscript"/>
        </w:rPr>
        <w:t>19,20,27,214</w:t>
      </w:r>
    </w:p>
    <w:p w14:paraId="266385BD" w14:textId="41E8F0D3" w:rsidR="0012371C" w:rsidRPr="00571093" w:rsidRDefault="002A3118" w:rsidP="00EB3C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Develop strategies to support QI participation by </w:t>
      </w:r>
      <w:r w:rsidR="00EB3C7B" w:rsidRPr="00571093">
        <w:rPr>
          <w:rFonts w:cstheme="minorHAnsi"/>
        </w:rPr>
        <w:t xml:space="preserve">parents including </w:t>
      </w:r>
      <w:r w:rsidRPr="00571093">
        <w:rPr>
          <w:rFonts w:cstheme="minorHAnsi"/>
        </w:rPr>
        <w:t>economically challenged</w:t>
      </w:r>
      <w:r w:rsidR="00697BCD" w:rsidRPr="00571093">
        <w:rPr>
          <w:rFonts w:cstheme="minorHAnsi"/>
        </w:rPr>
        <w:t>,</w:t>
      </w:r>
      <w:r w:rsidR="0012371C" w:rsidRPr="00571093">
        <w:rPr>
          <w:rFonts w:cstheme="minorHAnsi"/>
        </w:rPr>
        <w:t xml:space="preserve"> nontraditional</w:t>
      </w:r>
      <w:r w:rsidR="00CA57F9">
        <w:rPr>
          <w:rFonts w:cstheme="minorHAnsi"/>
        </w:rPr>
        <w:t>,</w:t>
      </w:r>
      <w:r w:rsidR="00697BCD" w:rsidRPr="00571093">
        <w:rPr>
          <w:rFonts w:cstheme="minorHAnsi"/>
        </w:rPr>
        <w:t xml:space="preserve"> and</w:t>
      </w:r>
      <w:r w:rsidR="0012371C" w:rsidRPr="00571093">
        <w:rPr>
          <w:rFonts w:cstheme="minorHAnsi"/>
        </w:rPr>
        <w:t xml:space="preserve"> racially and ethnically diverse families</w:t>
      </w:r>
      <w:r w:rsidR="00CA57F9" w:rsidRPr="00CA57F9">
        <w:rPr>
          <w:rFonts w:ascii="Calibri" w:hAnsi="Calibri" w:cs="Calibri"/>
          <w:szCs w:val="24"/>
          <w:vertAlign w:val="superscript"/>
        </w:rPr>
        <w:t>215,216</w:t>
      </w:r>
    </w:p>
    <w:p w14:paraId="70B8B124" w14:textId="56BBBF62" w:rsidR="00043A1B" w:rsidRPr="00571093" w:rsidRDefault="00043A1B" w:rsidP="00EB3C7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Include pediatricians and other primary care providers for children on QI teams</w:t>
      </w:r>
      <w:r w:rsidR="00CA57F9" w:rsidRPr="00CA57F9">
        <w:rPr>
          <w:rFonts w:ascii="Calibri" w:hAnsi="Calibri" w:cs="Calibri"/>
          <w:szCs w:val="24"/>
          <w:vertAlign w:val="superscript"/>
        </w:rPr>
        <w:t>217</w:t>
      </w:r>
    </w:p>
    <w:p w14:paraId="530E7BED" w14:textId="47183486" w:rsidR="008225D7" w:rsidRPr="00571093" w:rsidRDefault="008225D7" w:rsidP="001F6E95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571093">
        <w:rPr>
          <w:rFonts w:cstheme="minorHAnsi"/>
        </w:rPr>
        <w:t>Establish a charter with organizational leaders setting goals and resources for family advisors</w:t>
      </w:r>
      <w:r w:rsidR="00CA57F9" w:rsidRPr="00CA57F9">
        <w:rPr>
          <w:rFonts w:ascii="Calibri" w:hAnsi="Calibri" w:cs="Calibri"/>
          <w:szCs w:val="24"/>
          <w:vertAlign w:val="superscript"/>
        </w:rPr>
        <w:t>218</w:t>
      </w:r>
    </w:p>
    <w:p w14:paraId="24733DB1" w14:textId="0C8D3BED" w:rsidR="00865F66" w:rsidRPr="00571093" w:rsidRDefault="00865F66" w:rsidP="001F6E95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571093">
        <w:rPr>
          <w:rFonts w:cstheme="minorHAnsi"/>
        </w:rPr>
        <w:t>Provide salary support for family advisors</w:t>
      </w:r>
      <w:r w:rsidR="00CA57F9" w:rsidRPr="00CA57F9">
        <w:rPr>
          <w:rFonts w:ascii="Calibri" w:hAnsi="Calibri" w:cs="Calibri"/>
          <w:szCs w:val="24"/>
          <w:vertAlign w:val="superscript"/>
        </w:rPr>
        <w:t>218</w:t>
      </w:r>
    </w:p>
    <w:p w14:paraId="6DB50BE3" w14:textId="77777777" w:rsidR="0012371C" w:rsidRPr="00571093" w:rsidRDefault="0012371C" w:rsidP="0047584C">
      <w:pPr>
        <w:spacing w:after="0"/>
        <w:ind w:left="720"/>
        <w:contextualSpacing/>
        <w:rPr>
          <w:rFonts w:cstheme="minorHAnsi"/>
        </w:rPr>
      </w:pPr>
    </w:p>
    <w:p w14:paraId="50D8E5B8" w14:textId="77777777" w:rsidR="0035635C" w:rsidRPr="001D013F" w:rsidRDefault="0035635C" w:rsidP="0035635C">
      <w:pPr>
        <w:spacing w:after="0"/>
        <w:rPr>
          <w:rFonts w:cstheme="minorHAnsi"/>
          <w:b/>
        </w:rPr>
      </w:pPr>
      <w:r w:rsidRPr="001D013F">
        <w:rPr>
          <w:rFonts w:cstheme="minorHAnsi"/>
          <w:b/>
        </w:rPr>
        <w:t>VI. Advocate for Social Justice at the Local, State, and National Levels</w:t>
      </w:r>
    </w:p>
    <w:p w14:paraId="3BF2DA61" w14:textId="77777777" w:rsidR="0042015E" w:rsidRPr="00571093" w:rsidRDefault="0042015E" w:rsidP="0047584C">
      <w:pPr>
        <w:spacing w:after="0"/>
        <w:rPr>
          <w:rFonts w:cstheme="minorHAnsi"/>
          <w:b/>
        </w:rPr>
      </w:pPr>
    </w:p>
    <w:p w14:paraId="72BF1AD7" w14:textId="15B6FB3B" w:rsidR="0012371C" w:rsidRPr="00571093" w:rsidRDefault="0012371C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Conduct and disseminate research that identifies disparities in access and outcomes</w:t>
      </w:r>
      <w:r w:rsidR="00CA57F9" w:rsidRPr="00CA57F9">
        <w:rPr>
          <w:rFonts w:ascii="Calibri" w:hAnsi="Calibri" w:cs="Calibri"/>
          <w:szCs w:val="24"/>
          <w:vertAlign w:val="superscript"/>
        </w:rPr>
        <w:t>21,212</w:t>
      </w:r>
    </w:p>
    <w:p w14:paraId="28759973" w14:textId="0F487742" w:rsidR="0012371C" w:rsidRPr="00D9755D" w:rsidRDefault="0012371C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755D">
        <w:rPr>
          <w:rFonts w:cstheme="minorHAnsi"/>
        </w:rPr>
        <w:t>Serve on committees and in leadership roles within the local health system</w:t>
      </w:r>
      <w:r w:rsidR="00A44152" w:rsidRPr="00D9755D">
        <w:rPr>
          <w:rFonts w:cstheme="minorHAnsi"/>
        </w:rPr>
        <w:t xml:space="preserve"> and raise awareness of need for social justice in healthcare</w:t>
      </w:r>
      <w:r w:rsidR="00CA57F9" w:rsidRPr="00CA57F9">
        <w:rPr>
          <w:rFonts w:ascii="Calibri" w:hAnsi="Calibri" w:cs="Calibri"/>
          <w:szCs w:val="24"/>
          <w:vertAlign w:val="superscript"/>
        </w:rPr>
        <w:t>44,219–221</w:t>
      </w:r>
    </w:p>
    <w:p w14:paraId="00DBD2AA" w14:textId="64C2E7AC" w:rsidR="00A44152" w:rsidRPr="00D9755D" w:rsidRDefault="00A44152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9755D">
        <w:rPr>
          <w:rFonts w:cstheme="minorHAnsi"/>
        </w:rPr>
        <w:lastRenderedPageBreak/>
        <w:t>Actively recruit a diverse workforce with respect to race, ethnicity, gender, age, religion, and sexual orientation</w:t>
      </w:r>
      <w:r w:rsidR="00CA57F9" w:rsidRPr="00CA57F9">
        <w:rPr>
          <w:rFonts w:ascii="Calibri" w:hAnsi="Calibri" w:cs="Calibri"/>
          <w:szCs w:val="24"/>
          <w:vertAlign w:val="superscript"/>
        </w:rPr>
        <w:t>222</w:t>
      </w:r>
    </w:p>
    <w:p w14:paraId="428CA79F" w14:textId="77777777" w:rsidR="00B50D62" w:rsidRPr="00571093" w:rsidRDefault="00B50D62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Educate organizational leaders about social determinants of health</w:t>
      </w:r>
    </w:p>
    <w:p w14:paraId="7B59C42A" w14:textId="1D1D24B2" w:rsidR="00C03FB4" w:rsidRDefault="00C03FB4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Engage organizational leaders with a social determinants of health charter </w:t>
      </w:r>
    </w:p>
    <w:p w14:paraId="0215848E" w14:textId="4FBEF7BA" w:rsidR="00AB3096" w:rsidRPr="00571093" w:rsidRDefault="00AB3096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B3096">
        <w:rPr>
          <w:rFonts w:cstheme="minorHAnsi"/>
        </w:rPr>
        <w:t>Advocate for the protection and restoration of nature by forming alliances to prioritize access to green spaces, especially in minority neighborhoods</w:t>
      </w:r>
      <w:r w:rsidR="00CA57F9" w:rsidRPr="00CA57F9">
        <w:rPr>
          <w:rFonts w:ascii="Calibri" w:hAnsi="Calibri" w:cs="Calibri"/>
          <w:szCs w:val="24"/>
          <w:vertAlign w:val="superscript"/>
        </w:rPr>
        <w:t>223,224</w:t>
      </w:r>
    </w:p>
    <w:p w14:paraId="171E9D4E" w14:textId="34FFBC93" w:rsidR="0012371C" w:rsidRPr="00571093" w:rsidRDefault="00A95034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Advocate, </w:t>
      </w:r>
      <w:r w:rsidR="00AC6D1F">
        <w:rPr>
          <w:rFonts w:cstheme="minorHAnsi"/>
        </w:rPr>
        <w:t xml:space="preserve">organize, </w:t>
      </w:r>
      <w:r w:rsidRPr="00571093">
        <w:rPr>
          <w:rFonts w:cstheme="minorHAnsi"/>
        </w:rPr>
        <w:t>i</w:t>
      </w:r>
      <w:r w:rsidR="0012371C" w:rsidRPr="00571093">
        <w:rPr>
          <w:rFonts w:cstheme="minorHAnsi"/>
        </w:rPr>
        <w:t xml:space="preserve">nform and lobby </w:t>
      </w:r>
      <w:r w:rsidR="0060298E">
        <w:rPr>
          <w:rFonts w:cstheme="minorHAnsi"/>
        </w:rPr>
        <w:t xml:space="preserve">to change policy </w:t>
      </w:r>
      <w:r w:rsidR="0012371C" w:rsidRPr="00571093">
        <w:rPr>
          <w:rFonts w:cstheme="minorHAnsi"/>
        </w:rPr>
        <w:t xml:space="preserve">at the </w:t>
      </w:r>
      <w:r w:rsidR="00C83AEA" w:rsidRPr="00571093">
        <w:rPr>
          <w:rFonts w:cstheme="minorHAnsi"/>
        </w:rPr>
        <w:t xml:space="preserve">local, </w:t>
      </w:r>
      <w:r w:rsidR="00F50ED3" w:rsidRPr="00571093">
        <w:rPr>
          <w:rFonts w:cstheme="minorHAnsi"/>
        </w:rPr>
        <w:t>s</w:t>
      </w:r>
      <w:r w:rsidR="0012371C" w:rsidRPr="00571093">
        <w:rPr>
          <w:rFonts w:cstheme="minorHAnsi"/>
        </w:rPr>
        <w:t>tate</w:t>
      </w:r>
      <w:r w:rsidR="00CA57F9">
        <w:rPr>
          <w:rFonts w:cstheme="minorHAnsi"/>
        </w:rPr>
        <w:t>,</w:t>
      </w:r>
      <w:r w:rsidR="0012371C" w:rsidRPr="00571093">
        <w:rPr>
          <w:rFonts w:cstheme="minorHAnsi"/>
        </w:rPr>
        <w:t xml:space="preserve"> and </w:t>
      </w:r>
      <w:r w:rsidR="00F50ED3" w:rsidRPr="00571093">
        <w:rPr>
          <w:rFonts w:cstheme="minorHAnsi"/>
        </w:rPr>
        <w:t>n</w:t>
      </w:r>
      <w:r w:rsidR="0012371C" w:rsidRPr="00571093">
        <w:rPr>
          <w:rFonts w:cstheme="minorHAnsi"/>
        </w:rPr>
        <w:t>ational levels</w:t>
      </w:r>
      <w:r w:rsidR="00CA57F9" w:rsidRPr="00CA57F9">
        <w:rPr>
          <w:rFonts w:ascii="Calibri" w:hAnsi="Calibri" w:cs="Calibri"/>
          <w:szCs w:val="24"/>
          <w:vertAlign w:val="superscript"/>
        </w:rPr>
        <w:t>225–228</w:t>
      </w:r>
    </w:p>
    <w:p w14:paraId="32AD2FBC" w14:textId="79D8BAF1" w:rsidR="001369A6" w:rsidRPr="00571093" w:rsidRDefault="00A3606F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Play</w:t>
      </w:r>
      <w:r w:rsidR="001369A6" w:rsidRPr="00571093">
        <w:rPr>
          <w:rFonts w:cstheme="minorHAnsi"/>
        </w:rPr>
        <w:t xml:space="preserve"> a role in addressing global health inequities</w:t>
      </w:r>
      <w:r w:rsidR="00CA57F9" w:rsidRPr="00CA57F9">
        <w:rPr>
          <w:rFonts w:ascii="Calibri" w:hAnsi="Calibri" w:cs="Calibri"/>
          <w:szCs w:val="24"/>
          <w:vertAlign w:val="superscript"/>
        </w:rPr>
        <w:t>219,229,230</w:t>
      </w:r>
    </w:p>
    <w:p w14:paraId="534F09E1" w14:textId="1D1C3EFD" w:rsidR="00543CB0" w:rsidRPr="00571093" w:rsidRDefault="00543CB0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Advocate for environmental health and justice</w:t>
      </w:r>
      <w:r w:rsidR="00CA57F9" w:rsidRPr="00CA57F9">
        <w:rPr>
          <w:rFonts w:ascii="Calibri" w:hAnsi="Calibri" w:cs="Calibri"/>
          <w:szCs w:val="24"/>
          <w:vertAlign w:val="superscript"/>
        </w:rPr>
        <w:t>231–234</w:t>
      </w:r>
    </w:p>
    <w:p w14:paraId="18CD5DD3" w14:textId="3388294C" w:rsidR="00097DB0" w:rsidRPr="00571093" w:rsidRDefault="00097DB0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Name racism and ask, “How is racism operating here?”</w:t>
      </w:r>
      <w:r w:rsidR="00CA57F9" w:rsidRPr="00CA57F9">
        <w:rPr>
          <w:rFonts w:ascii="Calibri" w:hAnsi="Calibri" w:cs="Calibri"/>
          <w:szCs w:val="24"/>
          <w:vertAlign w:val="superscript"/>
        </w:rPr>
        <w:t>227,235</w:t>
      </w:r>
    </w:p>
    <w:p w14:paraId="168AC7C1" w14:textId="5FA6CFC9" w:rsidR="00AF6143" w:rsidRPr="00571093" w:rsidRDefault="00AF6143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 xml:space="preserve">Engage local, </w:t>
      </w:r>
      <w:r w:rsidR="00F50ED3" w:rsidRPr="00571093">
        <w:rPr>
          <w:rFonts w:cstheme="minorHAnsi"/>
        </w:rPr>
        <w:t>s</w:t>
      </w:r>
      <w:r w:rsidRPr="00571093">
        <w:rPr>
          <w:rFonts w:cstheme="minorHAnsi"/>
        </w:rPr>
        <w:t xml:space="preserve">tate, and </w:t>
      </w:r>
      <w:r w:rsidR="00F50ED3" w:rsidRPr="00571093">
        <w:rPr>
          <w:rFonts w:cstheme="minorHAnsi"/>
        </w:rPr>
        <w:t>f</w:t>
      </w:r>
      <w:r w:rsidRPr="00571093">
        <w:rPr>
          <w:rFonts w:cstheme="minorHAnsi"/>
        </w:rPr>
        <w:t>ederal agencies with responsibilities for infants and families</w:t>
      </w:r>
    </w:p>
    <w:p w14:paraId="768BF629" w14:textId="0A2D061E" w:rsidR="002A3118" w:rsidRDefault="002A3118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71093">
        <w:rPr>
          <w:rFonts w:cstheme="minorHAnsi"/>
        </w:rPr>
        <w:t>Advocate to include population health and social justice in the organizational mission</w:t>
      </w:r>
      <w:r w:rsidR="00CA57F9" w:rsidRPr="00CA57F9">
        <w:rPr>
          <w:rFonts w:ascii="Calibri" w:hAnsi="Calibri" w:cs="Calibri"/>
          <w:szCs w:val="24"/>
          <w:vertAlign w:val="superscript"/>
        </w:rPr>
        <w:t>236,237</w:t>
      </w:r>
    </w:p>
    <w:p w14:paraId="47D49AEE" w14:textId="73B952AA" w:rsidR="00C945BD" w:rsidRPr="00571093" w:rsidRDefault="00C945BD" w:rsidP="001F6E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>Support the establishment of a national commission to explore restitution and atonement for historical and ongoing injustices inflicted on African Americans and Native Americans</w:t>
      </w:r>
      <w:r w:rsidR="00CA57F9" w:rsidRPr="00CA57F9">
        <w:rPr>
          <w:rFonts w:ascii="Calibri" w:hAnsi="Calibri" w:cs="Calibri"/>
          <w:szCs w:val="24"/>
          <w:vertAlign w:val="superscript"/>
        </w:rPr>
        <w:t>238–241</w:t>
      </w:r>
      <w:r w:rsidR="00DD625F" w:rsidRPr="00571093">
        <w:rPr>
          <w:rFonts w:cstheme="minorHAnsi"/>
        </w:rPr>
        <w:t xml:space="preserve"> </w:t>
      </w:r>
    </w:p>
    <w:p w14:paraId="051BF29D" w14:textId="3057E9EC" w:rsidR="00405E69" w:rsidRPr="00146E65" w:rsidRDefault="00405E69" w:rsidP="001F6E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146E65">
        <w:rPr>
          <w:rFonts w:cstheme="minorHAnsi"/>
          <w:b/>
          <w:bCs/>
        </w:rPr>
        <w:t>Speak out!</w:t>
      </w:r>
    </w:p>
    <w:p w14:paraId="4920C6F5" w14:textId="4DA46095" w:rsidR="00A75EB8" w:rsidRDefault="00A75EB8" w:rsidP="001A3A8A">
      <w:pPr>
        <w:spacing w:after="0"/>
        <w:rPr>
          <w:rFonts w:cstheme="minorHAnsi"/>
          <w:b/>
          <w:bCs/>
        </w:rPr>
      </w:pPr>
    </w:p>
    <w:p w14:paraId="1B1D0C42" w14:textId="0E48A81D" w:rsidR="001A3A8A" w:rsidRPr="00571093" w:rsidRDefault="001A3A8A" w:rsidP="001A3A8A">
      <w:pPr>
        <w:spacing w:after="0"/>
        <w:rPr>
          <w:rFonts w:cstheme="minorHAnsi"/>
          <w:b/>
          <w:bCs/>
        </w:rPr>
      </w:pPr>
      <w:r w:rsidRPr="00571093">
        <w:rPr>
          <w:rFonts w:cstheme="minorHAnsi"/>
          <w:b/>
          <w:bCs/>
        </w:rPr>
        <w:t>References</w:t>
      </w:r>
    </w:p>
    <w:p w14:paraId="6EF75F5A" w14:textId="2F3B850F" w:rsidR="001A3A8A" w:rsidRPr="00571093" w:rsidRDefault="001A3A8A" w:rsidP="001A3A8A">
      <w:pPr>
        <w:spacing w:after="0"/>
        <w:rPr>
          <w:rFonts w:cstheme="minorHAnsi"/>
        </w:rPr>
      </w:pPr>
    </w:p>
    <w:p w14:paraId="255428B9" w14:textId="60F9027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Sharma M, Pinto A, </w:t>
      </w:r>
      <w:proofErr w:type="spellStart"/>
      <w:r w:rsidRPr="001D013F">
        <w:t>Kumagai</w:t>
      </w:r>
      <w:proofErr w:type="spellEnd"/>
      <w:r w:rsidRPr="001D013F">
        <w:t xml:space="preserve"> A. Teaching the social determinants of health: </w:t>
      </w:r>
      <w:r>
        <w:t>a</w:t>
      </w:r>
      <w:r w:rsidRPr="001D013F">
        <w:t xml:space="preserve"> path to equity or a road to nowhere? </w:t>
      </w:r>
      <w:proofErr w:type="spellStart"/>
      <w:r w:rsidRPr="00367070">
        <w:rPr>
          <w:i/>
          <w:iCs/>
        </w:rPr>
        <w:t>Acad</w:t>
      </w:r>
      <w:proofErr w:type="spellEnd"/>
      <w:r w:rsidRPr="00367070">
        <w:rPr>
          <w:i/>
          <w:iCs/>
        </w:rPr>
        <w:t xml:space="preserve"> Med</w:t>
      </w:r>
      <w:r w:rsidRPr="001D013F">
        <w:t>. 2018;93(1):25</w:t>
      </w:r>
      <w:r>
        <w:t>–</w:t>
      </w:r>
      <w:r w:rsidRPr="001D013F">
        <w:t>30</w:t>
      </w:r>
    </w:p>
    <w:p w14:paraId="28AB1A60" w14:textId="3A8E3BD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Lewis JH, </w:t>
      </w:r>
      <w:proofErr w:type="spellStart"/>
      <w:r w:rsidRPr="001D013F">
        <w:t>Whelihan</w:t>
      </w:r>
      <w:proofErr w:type="spellEnd"/>
      <w:r w:rsidRPr="001D013F">
        <w:t xml:space="preserve"> K, Roy D. Teaching students to identify and document social determinants of health. </w:t>
      </w:r>
      <w:r w:rsidRPr="00367070">
        <w:rPr>
          <w:i/>
          <w:iCs/>
        </w:rPr>
        <w:t xml:space="preserve">Adv Med Educ </w:t>
      </w:r>
      <w:proofErr w:type="spellStart"/>
      <w:r w:rsidRPr="00367070">
        <w:rPr>
          <w:i/>
          <w:iCs/>
        </w:rPr>
        <w:t>Pract</w:t>
      </w:r>
      <w:proofErr w:type="spellEnd"/>
      <w:r w:rsidRPr="001D013F">
        <w:t xml:space="preserve">. </w:t>
      </w:r>
      <w:proofErr w:type="gramStart"/>
      <w:r w:rsidRPr="001D013F">
        <w:t>2019;10:653</w:t>
      </w:r>
      <w:proofErr w:type="gramEnd"/>
      <w:r>
        <w:t>–</w:t>
      </w:r>
      <w:r w:rsidRPr="001D013F">
        <w:t>665</w:t>
      </w:r>
    </w:p>
    <w:p w14:paraId="471F8E32" w14:textId="6E328261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McGowan EC, Abdulla LS, Hawes KK, Tucker R, </w:t>
      </w:r>
      <w:proofErr w:type="spellStart"/>
      <w:r w:rsidRPr="001D013F">
        <w:t>Vohr</w:t>
      </w:r>
      <w:proofErr w:type="spellEnd"/>
      <w:r w:rsidRPr="001D013F">
        <w:t xml:space="preserve"> BR. Maternal immigrant status and readiness to transition to home from the NICU. </w:t>
      </w:r>
      <w:r w:rsidRPr="00367070">
        <w:rPr>
          <w:i/>
          <w:iCs/>
        </w:rPr>
        <w:t>Pediatrics</w:t>
      </w:r>
      <w:r w:rsidRPr="001D013F">
        <w:t>. 2019;143(5</w:t>
      </w:r>
      <w:proofErr w:type="gramStart"/>
      <w:r w:rsidRPr="001D013F">
        <w:t>)</w:t>
      </w:r>
      <w:r>
        <w:t>:e</w:t>
      </w:r>
      <w:proofErr w:type="gramEnd"/>
      <w:r>
        <w:t>20182657</w:t>
      </w:r>
    </w:p>
    <w:p w14:paraId="209EEC48" w14:textId="22C0B36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Horvat L, </w:t>
      </w:r>
      <w:proofErr w:type="spellStart"/>
      <w:r w:rsidRPr="001D013F">
        <w:t>Horey</w:t>
      </w:r>
      <w:proofErr w:type="spellEnd"/>
      <w:r w:rsidRPr="001D013F">
        <w:t xml:space="preserve"> D, </w:t>
      </w:r>
      <w:proofErr w:type="spellStart"/>
      <w:r w:rsidRPr="001D013F">
        <w:t>Romios</w:t>
      </w:r>
      <w:proofErr w:type="spellEnd"/>
      <w:r w:rsidRPr="001D013F">
        <w:t xml:space="preserve"> P, </w:t>
      </w:r>
      <w:proofErr w:type="spellStart"/>
      <w:r w:rsidRPr="001D013F">
        <w:t>Kis-Rigo</w:t>
      </w:r>
      <w:proofErr w:type="spellEnd"/>
      <w:r w:rsidRPr="001D013F">
        <w:t xml:space="preserve"> J. Cultural competence education for health professionals. </w:t>
      </w:r>
      <w:r w:rsidRPr="00367070">
        <w:rPr>
          <w:i/>
          <w:iCs/>
        </w:rPr>
        <w:t>Cochrane Database Syst Rev</w:t>
      </w:r>
      <w:r w:rsidRPr="001D013F">
        <w:t>. 2014;(5):CD009405</w:t>
      </w:r>
    </w:p>
    <w:p w14:paraId="0BDB5103" w14:textId="55AF737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Butler M, </w:t>
      </w:r>
      <w:proofErr w:type="spellStart"/>
      <w:r w:rsidRPr="001D013F">
        <w:t>McCreedy</w:t>
      </w:r>
      <w:proofErr w:type="spellEnd"/>
      <w:r w:rsidRPr="001D013F">
        <w:t xml:space="preserve"> E, </w:t>
      </w:r>
      <w:proofErr w:type="spellStart"/>
      <w:r w:rsidRPr="001D013F">
        <w:t>Schwer</w:t>
      </w:r>
      <w:proofErr w:type="spellEnd"/>
      <w:r w:rsidRPr="001D013F">
        <w:t xml:space="preserve"> N, et al. </w:t>
      </w:r>
      <w:r w:rsidRPr="00CC613B">
        <w:rPr>
          <w:i/>
          <w:iCs/>
        </w:rPr>
        <w:t>Improving Cultural Competence to Reduce Health Disparities</w:t>
      </w:r>
      <w:r w:rsidRPr="001D013F">
        <w:t xml:space="preserve">. Agency for Healthcare Research and Quality (US); 2016. </w:t>
      </w:r>
    </w:p>
    <w:p w14:paraId="77BFA52C" w14:textId="46EDC8D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Brottman</w:t>
      </w:r>
      <w:proofErr w:type="spellEnd"/>
      <w:r w:rsidRPr="001D013F">
        <w:t xml:space="preserve"> MR, Char DM, Hattori RA, </w:t>
      </w:r>
      <w:proofErr w:type="spellStart"/>
      <w:r w:rsidRPr="001D013F">
        <w:t>Heeb</w:t>
      </w:r>
      <w:proofErr w:type="spellEnd"/>
      <w:r w:rsidRPr="001D013F">
        <w:t xml:space="preserve"> R, </w:t>
      </w:r>
      <w:proofErr w:type="spellStart"/>
      <w:r w:rsidRPr="001D013F">
        <w:t>Taff</w:t>
      </w:r>
      <w:proofErr w:type="spellEnd"/>
      <w:r w:rsidRPr="001D013F">
        <w:t xml:space="preserve"> SD. Toward cultural competency in health care: </w:t>
      </w:r>
      <w:r>
        <w:t>a</w:t>
      </w:r>
      <w:r w:rsidRPr="001D013F">
        <w:t xml:space="preserve"> scoping review of the diversity and inclusion education literature. </w:t>
      </w:r>
      <w:proofErr w:type="spellStart"/>
      <w:r w:rsidRPr="00367070">
        <w:rPr>
          <w:i/>
          <w:iCs/>
        </w:rPr>
        <w:t>Acad</w:t>
      </w:r>
      <w:proofErr w:type="spellEnd"/>
      <w:r w:rsidRPr="00367070">
        <w:rPr>
          <w:i/>
          <w:iCs/>
        </w:rPr>
        <w:t xml:space="preserve"> Med</w:t>
      </w:r>
      <w:r w:rsidRPr="001D013F">
        <w:t xml:space="preserve">. </w:t>
      </w:r>
      <w:r>
        <w:t>2020;95(5):803–813</w:t>
      </w:r>
    </w:p>
    <w:p w14:paraId="0E3074F6" w14:textId="2B3FB34F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Ogbolu Y, </w:t>
      </w:r>
      <w:proofErr w:type="spellStart"/>
      <w:r w:rsidRPr="001D013F">
        <w:t>Scrandis</w:t>
      </w:r>
      <w:proofErr w:type="spellEnd"/>
      <w:r w:rsidRPr="001D013F">
        <w:t xml:space="preserve"> DA, Fitzpatrick G, Newhouse R. Leading organizational cultural competency: </w:t>
      </w:r>
      <w:r>
        <w:t>n</w:t>
      </w:r>
      <w:r w:rsidRPr="001D013F">
        <w:t xml:space="preserve">urse leader rounds and care for diverse patients. </w:t>
      </w:r>
      <w:r w:rsidRPr="00367070">
        <w:rPr>
          <w:i/>
          <w:iCs/>
        </w:rPr>
        <w:t xml:space="preserve">J </w:t>
      </w:r>
      <w:proofErr w:type="spellStart"/>
      <w:r w:rsidRPr="00367070">
        <w:rPr>
          <w:i/>
          <w:iCs/>
        </w:rPr>
        <w:t>Nurs</w:t>
      </w:r>
      <w:proofErr w:type="spellEnd"/>
      <w:r w:rsidRPr="00367070">
        <w:rPr>
          <w:i/>
          <w:iCs/>
        </w:rPr>
        <w:t xml:space="preserve"> Adm</w:t>
      </w:r>
      <w:r w:rsidRPr="001D013F">
        <w:t>. 2016;46(12):627</w:t>
      </w:r>
      <w:r>
        <w:t>–</w:t>
      </w:r>
      <w:r w:rsidRPr="001D013F">
        <w:t xml:space="preserve">629 </w:t>
      </w:r>
    </w:p>
    <w:p w14:paraId="7403AB19" w14:textId="45CE9C30" w:rsidR="006467C8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Zeidan</w:t>
      </w:r>
      <w:proofErr w:type="spellEnd"/>
      <w:r w:rsidRPr="001D013F">
        <w:t xml:space="preserve"> AJ, Khatri UG, </w:t>
      </w:r>
      <w:proofErr w:type="spellStart"/>
      <w:r w:rsidRPr="001D013F">
        <w:t>Aysola</w:t>
      </w:r>
      <w:proofErr w:type="spellEnd"/>
      <w:r w:rsidRPr="001D013F">
        <w:t xml:space="preserve"> J, et al. Implicit bias </w:t>
      </w:r>
      <w:proofErr w:type="gramStart"/>
      <w:r w:rsidRPr="001D013F">
        <w:t>education</w:t>
      </w:r>
      <w:proofErr w:type="gramEnd"/>
      <w:r w:rsidRPr="001D013F">
        <w:t xml:space="preserve"> and emergency medicine training: </w:t>
      </w:r>
      <w:r>
        <w:t>s</w:t>
      </w:r>
      <w:r w:rsidRPr="001D013F">
        <w:t xml:space="preserve">tep one? Awareness. </w:t>
      </w:r>
      <w:r w:rsidRPr="00367070">
        <w:rPr>
          <w:i/>
          <w:iCs/>
        </w:rPr>
        <w:t>AEM Educ Train</w:t>
      </w:r>
      <w:r w:rsidRPr="001D013F">
        <w:t>. 2019;3(1):81</w:t>
      </w:r>
      <w:r>
        <w:t>–</w:t>
      </w:r>
      <w:r w:rsidRPr="001D013F">
        <w:t>85</w:t>
      </w:r>
    </w:p>
    <w:p w14:paraId="4BC7E4F4" w14:textId="224ACA03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Sherman MD, Ricco J, Nelson SC, Nezhad SJ, Prasad S. Implicit bias training in a residency program: </w:t>
      </w:r>
      <w:r>
        <w:t>a</w:t>
      </w:r>
      <w:r w:rsidRPr="001D013F">
        <w:t xml:space="preserve">iming for enduring effects. </w:t>
      </w:r>
      <w:r w:rsidRPr="00367070">
        <w:rPr>
          <w:i/>
          <w:iCs/>
        </w:rPr>
        <w:t>Fam Med</w:t>
      </w:r>
      <w:r w:rsidRPr="001D013F">
        <w:t>. 2019;51(8):677</w:t>
      </w:r>
      <w:r>
        <w:t>–</w:t>
      </w:r>
      <w:r w:rsidRPr="001D013F">
        <w:t>681</w:t>
      </w:r>
    </w:p>
    <w:p w14:paraId="4EA73CAE" w14:textId="3D8A474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Oliver MN, Wells KM, Joy-Gaba JA, Hawkins CB, </w:t>
      </w:r>
      <w:proofErr w:type="spellStart"/>
      <w:r w:rsidRPr="001D013F">
        <w:t>Nosek</w:t>
      </w:r>
      <w:proofErr w:type="spellEnd"/>
      <w:r w:rsidRPr="001D013F">
        <w:t xml:space="preserve"> BA. Do physicians’ implicit views of African Americans affect clinical decision making? </w:t>
      </w:r>
      <w:r w:rsidRPr="00367070">
        <w:rPr>
          <w:i/>
          <w:iCs/>
        </w:rPr>
        <w:t>J Am Board Fam Med</w:t>
      </w:r>
      <w:r w:rsidRPr="001D013F">
        <w:t>. 2014;27(2):177</w:t>
      </w:r>
      <w:r>
        <w:t>–</w:t>
      </w:r>
      <w:r w:rsidRPr="001D013F">
        <w:t>188</w:t>
      </w:r>
    </w:p>
    <w:p w14:paraId="00CFC977" w14:textId="7CDD9AA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Maina</w:t>
      </w:r>
      <w:proofErr w:type="spellEnd"/>
      <w:r w:rsidRPr="001D013F">
        <w:t xml:space="preserve"> IW, Belton TD, </w:t>
      </w:r>
      <w:proofErr w:type="spellStart"/>
      <w:r w:rsidRPr="001D013F">
        <w:t>Ginzberg</w:t>
      </w:r>
      <w:proofErr w:type="spellEnd"/>
      <w:r w:rsidRPr="001D013F">
        <w:t xml:space="preserve"> S, Singh A, Johnson TJ. A decade of studying implicit racial/ethnic bias in healthcare providers using the implicit association test. </w:t>
      </w:r>
      <w:r w:rsidRPr="00367070">
        <w:rPr>
          <w:i/>
          <w:iCs/>
        </w:rPr>
        <w:t>Soc Sci Med</w:t>
      </w:r>
      <w:r w:rsidRPr="001D013F">
        <w:t xml:space="preserve">. </w:t>
      </w:r>
      <w:proofErr w:type="gramStart"/>
      <w:r w:rsidRPr="001D013F">
        <w:t>2018;199:219</w:t>
      </w:r>
      <w:proofErr w:type="gramEnd"/>
      <w:r>
        <w:t>–</w:t>
      </w:r>
      <w:r w:rsidRPr="001D013F">
        <w:t>229</w:t>
      </w:r>
    </w:p>
    <w:p w14:paraId="3E707D13" w14:textId="5C83D2E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Hall WJ, Chapman MV, Lee KM, et al. Implicit racial/ethnic bias among health care professionals and its influence on health care outcomes: </w:t>
      </w:r>
      <w:r>
        <w:t>a</w:t>
      </w:r>
      <w:r w:rsidRPr="001D013F">
        <w:t xml:space="preserve"> systematic review. </w:t>
      </w:r>
      <w:r w:rsidRPr="00367070">
        <w:rPr>
          <w:i/>
          <w:iCs/>
        </w:rPr>
        <w:t>Am J Public Health</w:t>
      </w:r>
      <w:r w:rsidRPr="001D013F">
        <w:t>. 2015;105(12</w:t>
      </w:r>
      <w:proofErr w:type="gramStart"/>
      <w:r w:rsidRPr="001D013F">
        <w:t>):e</w:t>
      </w:r>
      <w:proofErr w:type="gramEnd"/>
      <w:r w:rsidRPr="001D013F">
        <w:t>60</w:t>
      </w:r>
      <w:r>
        <w:t>–e</w:t>
      </w:r>
      <w:r w:rsidRPr="001D013F">
        <w:t>76</w:t>
      </w:r>
    </w:p>
    <w:p w14:paraId="7C7B0722" w14:textId="483F1C6C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FitzGerald C, Hurst S. Implicit bias in healthcare professionals: a systematic review. </w:t>
      </w:r>
      <w:r w:rsidRPr="00367070">
        <w:rPr>
          <w:i/>
          <w:iCs/>
        </w:rPr>
        <w:t>BMC Med Ethics</w:t>
      </w:r>
      <w:r w:rsidRPr="001D013F">
        <w:t>. 2017;18(1):19</w:t>
      </w:r>
    </w:p>
    <w:p w14:paraId="16CDA8BA" w14:textId="383224AA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Dehon</w:t>
      </w:r>
      <w:proofErr w:type="spellEnd"/>
      <w:r w:rsidRPr="001D013F">
        <w:t xml:space="preserve"> E, Weiss N, Jones J, </w:t>
      </w:r>
      <w:proofErr w:type="spellStart"/>
      <w:r w:rsidRPr="001D013F">
        <w:t>Faulconer</w:t>
      </w:r>
      <w:proofErr w:type="spellEnd"/>
      <w:r w:rsidRPr="001D013F">
        <w:t xml:space="preserve"> W, Hinton E, Sterling S. A systematic review of the impact of physician implicit racial bias on clinical decision making. </w:t>
      </w:r>
      <w:proofErr w:type="spellStart"/>
      <w:r w:rsidRPr="00367070">
        <w:rPr>
          <w:i/>
          <w:iCs/>
        </w:rPr>
        <w:t>Acad</w:t>
      </w:r>
      <w:proofErr w:type="spellEnd"/>
      <w:r w:rsidRPr="00367070">
        <w:rPr>
          <w:i/>
          <w:iCs/>
        </w:rPr>
        <w:t xml:space="preserve"> </w:t>
      </w:r>
      <w:proofErr w:type="spellStart"/>
      <w:r w:rsidRPr="00367070">
        <w:rPr>
          <w:i/>
          <w:iCs/>
        </w:rPr>
        <w:t>Emerg</w:t>
      </w:r>
      <w:proofErr w:type="spellEnd"/>
      <w:r w:rsidRPr="00367070">
        <w:rPr>
          <w:i/>
          <w:iCs/>
        </w:rPr>
        <w:t xml:space="preserve"> Med</w:t>
      </w:r>
      <w:r w:rsidRPr="001D013F">
        <w:t>. 2017;24(8):895</w:t>
      </w:r>
      <w:r>
        <w:t>–</w:t>
      </w:r>
      <w:r w:rsidRPr="001D013F">
        <w:t>904</w:t>
      </w:r>
    </w:p>
    <w:p w14:paraId="6ACEA755" w14:textId="76B567E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Staats</w:t>
      </w:r>
      <w:proofErr w:type="spellEnd"/>
      <w:r w:rsidRPr="001D013F">
        <w:t xml:space="preserve"> C, </w:t>
      </w:r>
      <w:proofErr w:type="spellStart"/>
      <w:r w:rsidRPr="001D013F">
        <w:t>Capatosto</w:t>
      </w:r>
      <w:proofErr w:type="spellEnd"/>
      <w:r w:rsidRPr="001D013F">
        <w:t xml:space="preserve"> K, </w:t>
      </w:r>
      <w:proofErr w:type="spellStart"/>
      <w:r w:rsidRPr="001D013F">
        <w:t>Tenny</w:t>
      </w:r>
      <w:proofErr w:type="spellEnd"/>
      <w:r w:rsidRPr="001D013F">
        <w:t xml:space="preserve"> L, Mamo S. Implicit </w:t>
      </w:r>
      <w:r>
        <w:t>b</w:t>
      </w:r>
      <w:r w:rsidRPr="001D013F">
        <w:t xml:space="preserve">ias </w:t>
      </w:r>
      <w:r>
        <w:t>r</w:t>
      </w:r>
      <w:r w:rsidRPr="001D013F">
        <w:t xml:space="preserve">eview: </w:t>
      </w:r>
      <w:r>
        <w:t>r</w:t>
      </w:r>
      <w:r w:rsidRPr="001D013F">
        <w:t xml:space="preserve">ace and </w:t>
      </w:r>
      <w:r>
        <w:t>e</w:t>
      </w:r>
      <w:r w:rsidRPr="001D013F">
        <w:t xml:space="preserve">thnicity: </w:t>
      </w:r>
      <w:r>
        <w:t>v</w:t>
      </w:r>
      <w:r w:rsidRPr="001D013F">
        <w:t xml:space="preserve">iews from </w:t>
      </w:r>
      <w:r>
        <w:t>i</w:t>
      </w:r>
      <w:r w:rsidRPr="001D013F">
        <w:t xml:space="preserve">nside the </w:t>
      </w:r>
      <w:r>
        <w:t>u</w:t>
      </w:r>
      <w:r w:rsidRPr="001D013F">
        <w:t xml:space="preserve">nconscious </w:t>
      </w:r>
      <w:r>
        <w:t>m</w:t>
      </w:r>
      <w:r w:rsidRPr="001D013F">
        <w:t xml:space="preserve">ind. </w:t>
      </w:r>
      <w:r>
        <w:t xml:space="preserve">Available at: </w:t>
      </w:r>
      <w:hyperlink r:id="rId8" w:history="1">
        <w:r w:rsidRPr="00D85947">
          <w:rPr>
            <w:rStyle w:val="Hyperlink"/>
          </w:rPr>
          <w:t>http://kirwaninstitute.osu.edu/implicit-bias-training/resources/2017-implicit-bias-review.pdf</w:t>
        </w:r>
      </w:hyperlink>
      <w:r>
        <w:t xml:space="preserve">. </w:t>
      </w:r>
      <w:r w:rsidRPr="001D013F">
        <w:t>Accessed March 7, 2020</w:t>
      </w:r>
    </w:p>
    <w:p w14:paraId="14F657D3" w14:textId="7A32C1B1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Purnell TS, Calhoun EA, Golden SH, et al. Achieving health equity: </w:t>
      </w:r>
      <w:r>
        <w:t>c</w:t>
      </w:r>
      <w:r w:rsidRPr="001D013F">
        <w:t xml:space="preserve">losing the gaps in health care disparities, interventions, and research. </w:t>
      </w:r>
      <w:r w:rsidRPr="00367070">
        <w:rPr>
          <w:i/>
          <w:iCs/>
        </w:rPr>
        <w:t xml:space="preserve">Health </w:t>
      </w:r>
      <w:proofErr w:type="spellStart"/>
      <w:r w:rsidRPr="00367070">
        <w:rPr>
          <w:i/>
          <w:iCs/>
        </w:rPr>
        <w:t>Aff</w:t>
      </w:r>
      <w:proofErr w:type="spellEnd"/>
      <w:r w:rsidR="00B43988">
        <w:rPr>
          <w:i/>
          <w:iCs/>
        </w:rPr>
        <w:t xml:space="preserve"> (</w:t>
      </w:r>
      <w:proofErr w:type="spellStart"/>
      <w:r w:rsidR="00B43988">
        <w:rPr>
          <w:i/>
          <w:iCs/>
        </w:rPr>
        <w:t>Milwood</w:t>
      </w:r>
      <w:proofErr w:type="spellEnd"/>
      <w:r w:rsidR="00B43988">
        <w:rPr>
          <w:i/>
          <w:iCs/>
        </w:rPr>
        <w:t>)</w:t>
      </w:r>
      <w:r w:rsidRPr="001D013F">
        <w:t>. 2016;35(8):1410</w:t>
      </w:r>
      <w:r>
        <w:t>–</w:t>
      </w:r>
      <w:r w:rsidRPr="001D013F">
        <w:t>1415</w:t>
      </w:r>
    </w:p>
    <w:p w14:paraId="4993FB84" w14:textId="78FF80B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National Quality Forum. A roadmap for promoting health equity and eliminating disparities: </w:t>
      </w:r>
      <w:r>
        <w:t>t</w:t>
      </w:r>
      <w:r w:rsidRPr="001D013F">
        <w:t xml:space="preserve">he four I’s for health equity. </w:t>
      </w:r>
      <w:r>
        <w:t xml:space="preserve">Available at: </w:t>
      </w:r>
      <w:hyperlink r:id="rId9" w:history="1">
        <w:r w:rsidRPr="00D85947">
          <w:rPr>
            <w:rStyle w:val="Hyperlink"/>
          </w:rPr>
          <w:t>https://www.qualityforum.org/Publications/2017/09/A_Roadmap_for_Promoting_Health_Equity_and_Eliminating_Disparities__The_Four_I_s_for_Health_Equity.aspx</w:t>
        </w:r>
      </w:hyperlink>
      <w:r>
        <w:t xml:space="preserve">. </w:t>
      </w:r>
      <w:r w:rsidRPr="001D013F">
        <w:t>Accessed February 5, 2020</w:t>
      </w:r>
    </w:p>
    <w:p w14:paraId="4D24C3D4" w14:textId="7CF9CA23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American Hospital Association, Association of American Medical Colleges, American College of Healthcare Executives, Catholic Health Association of the United States, National Association of Public Hospitals and Health Systems. Eliminating </w:t>
      </w:r>
      <w:r>
        <w:t>h</w:t>
      </w:r>
      <w:r w:rsidRPr="001D013F">
        <w:t xml:space="preserve">ealth </w:t>
      </w:r>
      <w:r>
        <w:t>c</w:t>
      </w:r>
      <w:r w:rsidRPr="001D013F">
        <w:t xml:space="preserve">are </w:t>
      </w:r>
      <w:r>
        <w:t>d</w:t>
      </w:r>
      <w:r w:rsidRPr="001D013F">
        <w:t xml:space="preserve">isparities: </w:t>
      </w:r>
      <w:r>
        <w:t>i</w:t>
      </w:r>
      <w:r w:rsidRPr="001D013F">
        <w:t xml:space="preserve">mplementing the </w:t>
      </w:r>
      <w:r>
        <w:t>n</w:t>
      </w:r>
      <w:r w:rsidRPr="001D013F">
        <w:t xml:space="preserve">ational </w:t>
      </w:r>
      <w:r>
        <w:t>c</w:t>
      </w:r>
      <w:r w:rsidRPr="001D013F">
        <w:t xml:space="preserve">all to </w:t>
      </w:r>
      <w:r>
        <w:t>a</w:t>
      </w:r>
      <w:r w:rsidRPr="001D013F">
        <w:t xml:space="preserve">ction </w:t>
      </w:r>
      <w:r>
        <w:t>u</w:t>
      </w:r>
      <w:r w:rsidRPr="001D013F">
        <w:t xml:space="preserve">sing </w:t>
      </w:r>
      <w:r>
        <w:t>l</w:t>
      </w:r>
      <w:r w:rsidRPr="001D013F">
        <w:t xml:space="preserve">essons </w:t>
      </w:r>
      <w:r>
        <w:t>l</w:t>
      </w:r>
      <w:r w:rsidRPr="001D013F">
        <w:t xml:space="preserve">earned. </w:t>
      </w:r>
      <w:r>
        <w:t xml:space="preserve">Available at: </w:t>
      </w:r>
      <w:hyperlink r:id="rId10" w:history="1">
        <w:r w:rsidRPr="00D85947">
          <w:rPr>
            <w:rStyle w:val="Hyperlink"/>
          </w:rPr>
          <w:t>http://www.hpoe.org/Reports-HPOE/eliminating_health_care_disparities.pdf</w:t>
        </w:r>
      </w:hyperlink>
      <w:r>
        <w:t xml:space="preserve">. </w:t>
      </w:r>
      <w:r w:rsidRPr="001D013F">
        <w:t>Accessed October 21, 2020</w:t>
      </w:r>
    </w:p>
    <w:p w14:paraId="167983CB" w14:textId="15CCA30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Stevenson DK, Wong RJ, Profit J, Shaw GM, Wang CJ, Lee HC. “Following through”: addressing the racial inequality for preterm infants and their families. </w:t>
      </w:r>
      <w:proofErr w:type="spellStart"/>
      <w:r w:rsidRPr="00367070">
        <w:rPr>
          <w:i/>
          <w:iCs/>
        </w:rPr>
        <w:t>Pediatr</w:t>
      </w:r>
      <w:proofErr w:type="spellEnd"/>
      <w:r w:rsidRPr="00367070">
        <w:rPr>
          <w:i/>
          <w:iCs/>
        </w:rPr>
        <w:t xml:space="preserve"> Res</w:t>
      </w:r>
      <w:r w:rsidRPr="001D013F">
        <w:t xml:space="preserve">. </w:t>
      </w:r>
      <w:r>
        <w:t>2020;87(2):192–193</w:t>
      </w:r>
    </w:p>
    <w:p w14:paraId="4EC1CC2D" w14:textId="6696A57F" w:rsidR="006467C8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Profit J, Gould JB, Bennett M, et al. Racial/ethnic disparity in NICU quality of care delivery. </w:t>
      </w:r>
      <w:r w:rsidRPr="00367070">
        <w:rPr>
          <w:i/>
          <w:iCs/>
        </w:rPr>
        <w:t>Pediatrics</w:t>
      </w:r>
      <w:r w:rsidRPr="001D013F">
        <w:t>. 2017;140(3</w:t>
      </w:r>
      <w:proofErr w:type="gramStart"/>
      <w:r w:rsidRPr="001D013F">
        <w:t>)</w:t>
      </w:r>
      <w:r>
        <w:t>:e</w:t>
      </w:r>
      <w:proofErr w:type="gramEnd"/>
      <w:r>
        <w:t>20170918</w:t>
      </w:r>
    </w:p>
    <w:p w14:paraId="7BC2B47C" w14:textId="3C57D932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Health Research and Educational Trust. Improving </w:t>
      </w:r>
      <w:r>
        <w:t>h</w:t>
      </w:r>
      <w:r w:rsidRPr="001D013F">
        <w:t xml:space="preserve">ealth </w:t>
      </w:r>
      <w:r>
        <w:t>e</w:t>
      </w:r>
      <w:r w:rsidRPr="001D013F">
        <w:t xml:space="preserve">quity </w:t>
      </w:r>
      <w:r>
        <w:t>t</w:t>
      </w:r>
      <w:r w:rsidRPr="001D013F">
        <w:t xml:space="preserve">hrough </w:t>
      </w:r>
      <w:r>
        <w:t>d</w:t>
      </w:r>
      <w:r w:rsidRPr="001D013F">
        <w:t xml:space="preserve">ata </w:t>
      </w:r>
      <w:r>
        <w:t>c</w:t>
      </w:r>
      <w:r w:rsidRPr="001D013F">
        <w:t xml:space="preserve">ollection </w:t>
      </w:r>
      <w:r>
        <w:t>and</w:t>
      </w:r>
      <w:r w:rsidRPr="001D013F">
        <w:t xml:space="preserve"> </w:t>
      </w:r>
      <w:r>
        <w:t>u</w:t>
      </w:r>
      <w:r w:rsidRPr="001D013F">
        <w:t xml:space="preserve">se: </w:t>
      </w:r>
      <w:r>
        <w:t>a</w:t>
      </w:r>
      <w:r w:rsidRPr="001D013F">
        <w:t xml:space="preserve"> </w:t>
      </w:r>
      <w:r>
        <w:t>g</w:t>
      </w:r>
      <w:r w:rsidRPr="001D013F">
        <w:t xml:space="preserve">uide for </w:t>
      </w:r>
      <w:r>
        <w:t>h</w:t>
      </w:r>
      <w:r w:rsidRPr="001D013F">
        <w:t xml:space="preserve">ospital </w:t>
      </w:r>
      <w:r>
        <w:t>l</w:t>
      </w:r>
      <w:r w:rsidRPr="001D013F">
        <w:t>eaders.</w:t>
      </w:r>
      <w:r>
        <w:t xml:space="preserve"> Available at:</w:t>
      </w:r>
      <w:r w:rsidRPr="001D013F">
        <w:t xml:space="preserve"> </w:t>
      </w:r>
      <w:hyperlink r:id="rId11" w:history="1">
        <w:r w:rsidRPr="00D85947">
          <w:rPr>
            <w:rStyle w:val="Hyperlink"/>
          </w:rPr>
          <w:t>http://www.hpoe.org/Reports-HPOE/improvinghealthequity3.2011.pdf</w:t>
        </w:r>
      </w:hyperlink>
      <w:r>
        <w:t xml:space="preserve">. </w:t>
      </w:r>
      <w:r w:rsidRPr="001D013F">
        <w:t>Accessed October 21, 2020</w:t>
      </w:r>
    </w:p>
    <w:p w14:paraId="7792E697" w14:textId="113427C3" w:rsidR="006467C8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Beck AF, Edwards EM, Horbar JD, Howell EA, McCormick MC, Pursley DM. The color of health: how racism, segregation, and inequality affect the health and well-being of preterm infants and their families. </w:t>
      </w:r>
      <w:proofErr w:type="spellStart"/>
      <w:r w:rsidRPr="00367070">
        <w:rPr>
          <w:i/>
          <w:iCs/>
        </w:rPr>
        <w:t>Pediatr</w:t>
      </w:r>
      <w:proofErr w:type="spellEnd"/>
      <w:r w:rsidRPr="00367070">
        <w:rPr>
          <w:i/>
          <w:iCs/>
        </w:rPr>
        <w:t xml:space="preserve"> Res</w:t>
      </w:r>
      <w:r w:rsidRPr="001D013F">
        <w:t xml:space="preserve">. </w:t>
      </w:r>
      <w:r>
        <w:t xml:space="preserve">2020;87(2):227–234. Available at: </w:t>
      </w:r>
      <w:hyperlink r:id="rId12" w:history="1">
        <w:r w:rsidRPr="00D85947">
          <w:rPr>
            <w:rStyle w:val="Hyperlink"/>
          </w:rPr>
          <w:t>https://www.nature.com/articles/s41390-019-0513-6</w:t>
        </w:r>
      </w:hyperlink>
    </w:p>
    <w:p w14:paraId="59A51E46" w14:textId="18E61A17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Sokol R, Austin A, Chandler C, et al. Screening children for social determinants of health: </w:t>
      </w:r>
      <w:r>
        <w:t>a</w:t>
      </w:r>
      <w:r w:rsidRPr="001D013F">
        <w:t xml:space="preserve"> systematic review. </w:t>
      </w:r>
      <w:r w:rsidRPr="00367070">
        <w:rPr>
          <w:i/>
          <w:iCs/>
        </w:rPr>
        <w:t>Pediatrics</w:t>
      </w:r>
      <w:r w:rsidRPr="001D013F">
        <w:t>. 2019;144(4</w:t>
      </w:r>
      <w:proofErr w:type="gramStart"/>
      <w:r w:rsidRPr="001D013F">
        <w:t>)</w:t>
      </w:r>
      <w:r w:rsidRPr="00367070">
        <w:t xml:space="preserve"> </w:t>
      </w:r>
      <w:r>
        <w:t>:e</w:t>
      </w:r>
      <w:proofErr w:type="gramEnd"/>
      <w:r>
        <w:t>20191622</w:t>
      </w:r>
    </w:p>
    <w:p w14:paraId="2E87412B" w14:textId="4E83AB50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Fuller MG, </w:t>
      </w:r>
      <w:proofErr w:type="spellStart"/>
      <w:r w:rsidRPr="001D013F">
        <w:t>Vaucher</w:t>
      </w:r>
      <w:proofErr w:type="spellEnd"/>
      <w:r w:rsidRPr="001D013F">
        <w:t xml:space="preserve"> YE, Bann CM, Das A, </w:t>
      </w:r>
      <w:proofErr w:type="spellStart"/>
      <w:r w:rsidRPr="001D013F">
        <w:t>Vohr</w:t>
      </w:r>
      <w:proofErr w:type="spellEnd"/>
      <w:r w:rsidRPr="001D013F">
        <w:t xml:space="preserve"> BR, NICHD Neonatal Research Network. Lack of social support as measured by the Family Resource Scale screening tool is associated with early adverse cognitive outcome in extremely low birth weight children. </w:t>
      </w:r>
      <w:r w:rsidRPr="00367070">
        <w:rPr>
          <w:i/>
          <w:iCs/>
        </w:rPr>
        <w:t xml:space="preserve">J </w:t>
      </w:r>
      <w:proofErr w:type="spellStart"/>
      <w:r w:rsidRPr="00367070">
        <w:rPr>
          <w:i/>
          <w:iCs/>
        </w:rPr>
        <w:t>Perinatol</w:t>
      </w:r>
      <w:proofErr w:type="spellEnd"/>
      <w:r w:rsidRPr="001D013F">
        <w:t>. 2019;39(11):1546</w:t>
      </w:r>
      <w:r>
        <w:t>–</w:t>
      </w:r>
      <w:r w:rsidRPr="001D013F">
        <w:t>1554</w:t>
      </w:r>
    </w:p>
    <w:p w14:paraId="15DBCB04" w14:textId="2C4FF66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Fierman</w:t>
      </w:r>
      <w:proofErr w:type="spellEnd"/>
      <w:r w:rsidRPr="001D013F">
        <w:t xml:space="preserve"> AH, Beck AF, Chung EK, et al. Redesigning health care practices to address childhood poverty. </w:t>
      </w:r>
      <w:proofErr w:type="spellStart"/>
      <w:r w:rsidRPr="00367070">
        <w:rPr>
          <w:i/>
          <w:iCs/>
        </w:rPr>
        <w:t>Acad</w:t>
      </w:r>
      <w:proofErr w:type="spellEnd"/>
      <w:r w:rsidRPr="00367070">
        <w:rPr>
          <w:i/>
          <w:iCs/>
        </w:rPr>
        <w:t xml:space="preserve"> </w:t>
      </w:r>
      <w:proofErr w:type="spellStart"/>
      <w:r w:rsidRPr="00367070">
        <w:rPr>
          <w:i/>
          <w:iCs/>
        </w:rPr>
        <w:t>Pediatr</w:t>
      </w:r>
      <w:proofErr w:type="spellEnd"/>
      <w:r w:rsidRPr="001D013F">
        <w:t>. 2016;16(3 Suppl</w:t>
      </w:r>
      <w:proofErr w:type="gramStart"/>
      <w:r w:rsidRPr="001D013F">
        <w:t>):S</w:t>
      </w:r>
      <w:proofErr w:type="gramEnd"/>
      <w:r w:rsidRPr="001D013F">
        <w:t>136</w:t>
      </w:r>
      <w:r>
        <w:t>–</w:t>
      </w:r>
      <w:r w:rsidRPr="001D013F">
        <w:t>146</w:t>
      </w:r>
    </w:p>
    <w:p w14:paraId="2C081B5E" w14:textId="2A01FCE3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Dworkin PH, Garg A. Considering approaches to screening for social determinants of health. </w:t>
      </w:r>
      <w:r w:rsidRPr="00367070">
        <w:rPr>
          <w:i/>
          <w:iCs/>
        </w:rPr>
        <w:t>Pediatrics</w:t>
      </w:r>
      <w:r w:rsidRPr="001D013F">
        <w:t>. 2019;144(4</w:t>
      </w:r>
      <w:proofErr w:type="gramStart"/>
      <w:r w:rsidRPr="001D013F">
        <w:t>)</w:t>
      </w:r>
      <w:r>
        <w:t>:e</w:t>
      </w:r>
      <w:proofErr w:type="gramEnd"/>
      <w:r>
        <w:t>20192395</w:t>
      </w:r>
    </w:p>
    <w:p w14:paraId="4E0EA07E" w14:textId="294F6B34" w:rsidR="006467C8" w:rsidRPr="00367070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Chung EK, Siegel BS, Garg A, et al. Screening for social determinants of health among children and families living in poverty: </w:t>
      </w:r>
      <w:r>
        <w:t>a</w:t>
      </w:r>
      <w:r w:rsidRPr="001D013F">
        <w:t xml:space="preserve"> guide for clinicians. </w:t>
      </w:r>
      <w:proofErr w:type="spellStart"/>
      <w:r w:rsidRPr="00367070">
        <w:rPr>
          <w:i/>
          <w:iCs/>
        </w:rPr>
        <w:t>Curr</w:t>
      </w:r>
      <w:proofErr w:type="spellEnd"/>
      <w:r w:rsidRPr="00367070">
        <w:rPr>
          <w:i/>
          <w:iCs/>
        </w:rPr>
        <w:t xml:space="preserve"> </w:t>
      </w:r>
      <w:proofErr w:type="spellStart"/>
      <w:r w:rsidRPr="00367070">
        <w:rPr>
          <w:i/>
          <w:iCs/>
        </w:rPr>
        <w:t>Probl</w:t>
      </w:r>
      <w:proofErr w:type="spellEnd"/>
      <w:r w:rsidRPr="00367070">
        <w:rPr>
          <w:i/>
          <w:iCs/>
        </w:rPr>
        <w:t xml:space="preserve"> </w:t>
      </w:r>
      <w:proofErr w:type="spellStart"/>
      <w:r w:rsidRPr="00367070">
        <w:rPr>
          <w:i/>
          <w:iCs/>
        </w:rPr>
        <w:t>Pediatr</w:t>
      </w:r>
      <w:proofErr w:type="spellEnd"/>
      <w:r w:rsidRPr="00367070">
        <w:rPr>
          <w:i/>
          <w:iCs/>
        </w:rPr>
        <w:t xml:space="preserve"> </w:t>
      </w:r>
      <w:proofErr w:type="spellStart"/>
      <w:r w:rsidRPr="00367070">
        <w:rPr>
          <w:i/>
          <w:iCs/>
        </w:rPr>
        <w:t>Adolesc</w:t>
      </w:r>
      <w:proofErr w:type="spellEnd"/>
      <w:r w:rsidRPr="00367070">
        <w:rPr>
          <w:i/>
          <w:iCs/>
        </w:rPr>
        <w:t xml:space="preserve"> Health Care</w:t>
      </w:r>
      <w:r>
        <w:t>. 2016;46(5):135–153</w:t>
      </w:r>
    </w:p>
    <w:p w14:paraId="222FD638" w14:textId="66D0827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Adler NE, Stead WW. Patients in context</w:t>
      </w:r>
      <w:r>
        <w:t>–</w:t>
      </w:r>
      <w:r w:rsidRPr="001D013F">
        <w:t xml:space="preserve">EHR capture of social and behavioral determinants of health. </w:t>
      </w:r>
      <w:r w:rsidRPr="00367070">
        <w:rPr>
          <w:i/>
          <w:iCs/>
        </w:rPr>
        <w:t xml:space="preserve">N </w:t>
      </w:r>
      <w:proofErr w:type="spellStart"/>
      <w:r w:rsidRPr="00367070">
        <w:rPr>
          <w:i/>
          <w:iCs/>
        </w:rPr>
        <w:t>Engl</w:t>
      </w:r>
      <w:proofErr w:type="spellEnd"/>
      <w:r w:rsidRPr="00367070">
        <w:rPr>
          <w:i/>
          <w:iCs/>
        </w:rPr>
        <w:t xml:space="preserve"> J Med</w:t>
      </w:r>
      <w:r w:rsidRPr="001D013F">
        <w:t>. 2015;372(8):698</w:t>
      </w:r>
      <w:r>
        <w:t>–</w:t>
      </w:r>
      <w:r w:rsidRPr="001D013F">
        <w:t>701</w:t>
      </w:r>
    </w:p>
    <w:p w14:paraId="2039F105" w14:textId="682990C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Beck AF, Klein MD, </w:t>
      </w:r>
      <w:proofErr w:type="spellStart"/>
      <w:r w:rsidRPr="001D013F">
        <w:t>Schaffzin</w:t>
      </w:r>
      <w:proofErr w:type="spellEnd"/>
      <w:r w:rsidRPr="001D013F">
        <w:t xml:space="preserve"> JK, </w:t>
      </w:r>
      <w:proofErr w:type="spellStart"/>
      <w:r w:rsidRPr="001D013F">
        <w:t>Tallent</w:t>
      </w:r>
      <w:proofErr w:type="spellEnd"/>
      <w:r w:rsidRPr="001D013F">
        <w:t xml:space="preserve"> V, Gillam M, Kahn RS. Identifying and treating a substandard housing cluster using a medical-legal partnership. </w:t>
      </w:r>
      <w:r w:rsidRPr="00367070">
        <w:rPr>
          <w:i/>
          <w:iCs/>
        </w:rPr>
        <w:t>Pediatrics</w:t>
      </w:r>
      <w:r w:rsidRPr="001D013F">
        <w:t>. 2012;130(5):831</w:t>
      </w:r>
      <w:r>
        <w:t>–</w:t>
      </w:r>
      <w:r w:rsidRPr="001D013F">
        <w:t>838</w:t>
      </w:r>
    </w:p>
    <w:p w14:paraId="69E01C03" w14:textId="1DA5018F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Beck AF, </w:t>
      </w:r>
      <w:proofErr w:type="spellStart"/>
      <w:r w:rsidRPr="001D013F">
        <w:t>Tschudy</w:t>
      </w:r>
      <w:proofErr w:type="spellEnd"/>
      <w:r w:rsidRPr="001D013F">
        <w:t xml:space="preserve"> MM, Coker TR, et al. Determinants of health and pediatric primary care practices. </w:t>
      </w:r>
      <w:r w:rsidRPr="00367070">
        <w:rPr>
          <w:i/>
          <w:iCs/>
        </w:rPr>
        <w:t>Pediatrics</w:t>
      </w:r>
      <w:r w:rsidRPr="001D013F">
        <w:t>. 2016;137(3</w:t>
      </w:r>
      <w:proofErr w:type="gramStart"/>
      <w:r w:rsidRPr="001D013F">
        <w:t>):e</w:t>
      </w:r>
      <w:proofErr w:type="gramEnd"/>
      <w:r w:rsidRPr="001D013F">
        <w:t>20153673</w:t>
      </w:r>
    </w:p>
    <w:p w14:paraId="559F9F11" w14:textId="5E3992CE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Beck AF, Sandel MT, Ryan PH, Kahn RS. Mapping neighborhood health </w:t>
      </w:r>
      <w:proofErr w:type="spellStart"/>
      <w:r w:rsidRPr="001D013F">
        <w:t>geomarkers</w:t>
      </w:r>
      <w:proofErr w:type="spellEnd"/>
      <w:r w:rsidRPr="001D013F">
        <w:t xml:space="preserve"> to clinical care decisions to promote equity in child health. </w:t>
      </w:r>
      <w:r w:rsidRPr="00367070">
        <w:rPr>
          <w:i/>
          <w:iCs/>
        </w:rPr>
        <w:t xml:space="preserve">Health </w:t>
      </w:r>
      <w:proofErr w:type="spellStart"/>
      <w:r w:rsidRPr="00367070">
        <w:rPr>
          <w:i/>
          <w:iCs/>
        </w:rPr>
        <w:t>Aff</w:t>
      </w:r>
      <w:proofErr w:type="spellEnd"/>
      <w:r w:rsidRPr="00367070">
        <w:rPr>
          <w:i/>
          <w:iCs/>
        </w:rPr>
        <w:t xml:space="preserve"> (Millwood)</w:t>
      </w:r>
      <w:r w:rsidRPr="001D013F">
        <w:t>. 2017;36(6):999</w:t>
      </w:r>
      <w:r>
        <w:t>–</w:t>
      </w:r>
      <w:r w:rsidRPr="001D013F">
        <w:t>1005</w:t>
      </w:r>
    </w:p>
    <w:p w14:paraId="67A6324E" w14:textId="61C1CA17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Miranda ML, Ferranti J, Strauss B, </w:t>
      </w:r>
      <w:proofErr w:type="spellStart"/>
      <w:r w:rsidRPr="001D013F">
        <w:t>Neelon</w:t>
      </w:r>
      <w:proofErr w:type="spellEnd"/>
      <w:r w:rsidRPr="001D013F">
        <w:t xml:space="preserve"> B, </w:t>
      </w:r>
      <w:proofErr w:type="spellStart"/>
      <w:r w:rsidRPr="001D013F">
        <w:t>Califf</w:t>
      </w:r>
      <w:proofErr w:type="spellEnd"/>
      <w:r w:rsidRPr="001D013F">
        <w:t xml:space="preserve"> RM. Geographic health information systems: </w:t>
      </w:r>
      <w:r>
        <w:t>a</w:t>
      </w:r>
      <w:r w:rsidRPr="001D013F">
        <w:t xml:space="preserve"> platform to support the ‘</w:t>
      </w:r>
      <w:r>
        <w:t>t</w:t>
      </w:r>
      <w:r w:rsidRPr="001D013F">
        <w:t xml:space="preserve">riple </w:t>
      </w:r>
      <w:r>
        <w:t>a</w:t>
      </w:r>
      <w:r w:rsidRPr="001D013F">
        <w:t xml:space="preserve">im.’ </w:t>
      </w:r>
      <w:r w:rsidRPr="00367070">
        <w:rPr>
          <w:i/>
          <w:iCs/>
        </w:rPr>
        <w:t xml:space="preserve">Health </w:t>
      </w:r>
      <w:proofErr w:type="spellStart"/>
      <w:r w:rsidRPr="00367070">
        <w:rPr>
          <w:i/>
          <w:iCs/>
        </w:rPr>
        <w:t>Aff</w:t>
      </w:r>
      <w:proofErr w:type="spellEnd"/>
      <w:r w:rsidRPr="00367070">
        <w:rPr>
          <w:i/>
          <w:iCs/>
        </w:rPr>
        <w:t xml:space="preserve"> (Millwood)</w:t>
      </w:r>
      <w:r w:rsidRPr="001D013F">
        <w:t>. 2013;32(9):1608</w:t>
      </w:r>
      <w:r>
        <w:t>–</w:t>
      </w:r>
      <w:r w:rsidRPr="001D013F">
        <w:t>1615</w:t>
      </w:r>
    </w:p>
    <w:p w14:paraId="6DE4C016" w14:textId="6272CBB7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Hardt NS, </w:t>
      </w:r>
      <w:proofErr w:type="spellStart"/>
      <w:r w:rsidRPr="001D013F">
        <w:t>Muhamed</w:t>
      </w:r>
      <w:proofErr w:type="spellEnd"/>
      <w:r w:rsidRPr="001D013F">
        <w:t xml:space="preserve"> S, Das R, Estrella R, Roth J. Neighborhood-level hot spot maps to inform delivery of primary care and allocation of social resources. </w:t>
      </w:r>
      <w:r w:rsidRPr="00367070">
        <w:rPr>
          <w:i/>
          <w:iCs/>
        </w:rPr>
        <w:t>Perm J</w:t>
      </w:r>
      <w:r w:rsidRPr="001D013F">
        <w:t>. 2013;17(1):4</w:t>
      </w:r>
      <w:r>
        <w:t>–</w:t>
      </w:r>
      <w:r w:rsidRPr="001D013F">
        <w:t>9</w:t>
      </w:r>
    </w:p>
    <w:p w14:paraId="7BA9FF74" w14:textId="68FE12E1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National Association of Perinatal Social Workers. </w:t>
      </w:r>
      <w:r w:rsidRPr="001D013F">
        <w:t xml:space="preserve">Standards for </w:t>
      </w:r>
      <w:r>
        <w:t>s</w:t>
      </w:r>
      <w:r w:rsidRPr="001D013F">
        <w:t xml:space="preserve">ocial </w:t>
      </w:r>
      <w:r>
        <w:t>w</w:t>
      </w:r>
      <w:r w:rsidRPr="001D013F">
        <w:t xml:space="preserve">ork </w:t>
      </w:r>
      <w:r>
        <w:t>s</w:t>
      </w:r>
      <w:r w:rsidRPr="001D013F">
        <w:t xml:space="preserve">ervices in the </w:t>
      </w:r>
      <w:r>
        <w:t>n</w:t>
      </w:r>
      <w:r w:rsidRPr="001D013F">
        <w:t xml:space="preserve">ewborn </w:t>
      </w:r>
      <w:r>
        <w:t>i</w:t>
      </w:r>
      <w:r w:rsidRPr="001D013F">
        <w:t xml:space="preserve">ntensive </w:t>
      </w:r>
      <w:r>
        <w:t>c</w:t>
      </w:r>
      <w:r w:rsidRPr="001D013F">
        <w:t xml:space="preserve">are </w:t>
      </w:r>
      <w:r>
        <w:t>u</w:t>
      </w:r>
      <w:r w:rsidRPr="001D013F">
        <w:t>nit.</w:t>
      </w:r>
      <w:r>
        <w:t xml:space="preserve"> Available at: </w:t>
      </w:r>
      <w:r w:rsidRPr="001D013F">
        <w:t xml:space="preserve"> </w:t>
      </w:r>
      <w:hyperlink r:id="rId13" w:history="1">
        <w:r w:rsidRPr="00D85947">
          <w:rPr>
            <w:rStyle w:val="Hyperlink"/>
          </w:rPr>
          <w:t>https://www.napsw.org/assets/docs/NICU-standards.pdf</w:t>
        </w:r>
      </w:hyperlink>
      <w:r>
        <w:t xml:space="preserve">. </w:t>
      </w:r>
      <w:r w:rsidRPr="001D013F">
        <w:t>Accessed December 19, 2019</w:t>
      </w:r>
    </w:p>
    <w:p w14:paraId="43BA01E5" w14:textId="7627350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Hynan</w:t>
      </w:r>
      <w:proofErr w:type="spellEnd"/>
      <w:r w:rsidRPr="001D013F">
        <w:t xml:space="preserve"> MT, Steinberg Z, Baker L, et al. Recommendations for mental health professionals in the NICU. </w:t>
      </w:r>
      <w:r w:rsidRPr="00367070">
        <w:rPr>
          <w:i/>
          <w:iCs/>
        </w:rPr>
        <w:t xml:space="preserve">J </w:t>
      </w:r>
      <w:proofErr w:type="spellStart"/>
      <w:r w:rsidRPr="00367070">
        <w:rPr>
          <w:i/>
          <w:iCs/>
        </w:rPr>
        <w:t>Perinatol</w:t>
      </w:r>
      <w:proofErr w:type="spellEnd"/>
      <w:r w:rsidRPr="001D013F">
        <w:t>. 2015;35</w:t>
      </w:r>
      <w:r>
        <w:t>(</w:t>
      </w:r>
      <w:r w:rsidRPr="001D013F">
        <w:t>Suppl 1</w:t>
      </w:r>
      <w:proofErr w:type="gramStart"/>
      <w:r>
        <w:t>)</w:t>
      </w:r>
      <w:r w:rsidRPr="001D013F">
        <w:t>:S</w:t>
      </w:r>
      <w:proofErr w:type="gramEnd"/>
      <w:r w:rsidRPr="001D013F">
        <w:t>14</w:t>
      </w:r>
      <w:r>
        <w:t>–</w:t>
      </w:r>
      <w:r w:rsidRPr="001D013F">
        <w:t>18</w:t>
      </w:r>
    </w:p>
    <w:p w14:paraId="51E798AA" w14:textId="66D61B0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Agency for Healthcare Research and Quality. </w:t>
      </w:r>
      <w:r w:rsidRPr="001D013F">
        <w:t>Clinical-</w:t>
      </w:r>
      <w:r>
        <w:t>c</w:t>
      </w:r>
      <w:r w:rsidRPr="001D013F">
        <w:t xml:space="preserve">ommunity </w:t>
      </w:r>
      <w:r>
        <w:t>l</w:t>
      </w:r>
      <w:r w:rsidRPr="001D013F">
        <w:t xml:space="preserve">inkages. </w:t>
      </w:r>
      <w:r>
        <w:t xml:space="preserve">Available at: </w:t>
      </w:r>
      <w:hyperlink r:id="rId14" w:history="1">
        <w:r w:rsidRPr="00D85947">
          <w:rPr>
            <w:rStyle w:val="Hyperlink"/>
          </w:rPr>
          <w:t>http://www.ahrq.gov/ncepcr/tools/community/index.html</w:t>
        </w:r>
      </w:hyperlink>
      <w:r>
        <w:t xml:space="preserve">. </w:t>
      </w:r>
      <w:r w:rsidRPr="001D013F">
        <w:t>Accessed December 30, 2019</w:t>
      </w:r>
    </w:p>
    <w:p w14:paraId="3CD88FDE" w14:textId="3ED8AA2C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Berwick DM, Nolan TW, Whittington J. The triple aim: care, health, and cost. </w:t>
      </w:r>
      <w:r w:rsidRPr="00367070">
        <w:rPr>
          <w:i/>
          <w:iCs/>
        </w:rPr>
        <w:t xml:space="preserve">Health </w:t>
      </w:r>
      <w:proofErr w:type="spellStart"/>
      <w:r w:rsidRPr="00367070">
        <w:rPr>
          <w:i/>
          <w:iCs/>
        </w:rPr>
        <w:t>Aff</w:t>
      </w:r>
      <w:proofErr w:type="spellEnd"/>
      <w:r w:rsidRPr="00367070">
        <w:rPr>
          <w:i/>
          <w:iCs/>
        </w:rPr>
        <w:t xml:space="preserve"> (Millwood)</w:t>
      </w:r>
      <w:r w:rsidRPr="001D013F">
        <w:t>. 2008;27(3):759</w:t>
      </w:r>
      <w:r>
        <w:t>–</w:t>
      </w:r>
      <w:r w:rsidRPr="001D013F">
        <w:t>769</w:t>
      </w:r>
    </w:p>
    <w:p w14:paraId="5B1416E2" w14:textId="19053BC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Baum FE, </w:t>
      </w:r>
      <w:proofErr w:type="spellStart"/>
      <w:r w:rsidRPr="001D013F">
        <w:t>Bégin</w:t>
      </w:r>
      <w:proofErr w:type="spellEnd"/>
      <w:r w:rsidRPr="001D013F">
        <w:t xml:space="preserve"> M, </w:t>
      </w:r>
      <w:proofErr w:type="spellStart"/>
      <w:r w:rsidRPr="001D013F">
        <w:t>Houweling</w:t>
      </w:r>
      <w:proofErr w:type="spellEnd"/>
      <w:r w:rsidRPr="001D013F">
        <w:t xml:space="preserve"> TAJ, Taylor S. Changes not for the fainthearted: reorienting health care systems toward health equity through action on the social determinants of health. </w:t>
      </w:r>
      <w:r w:rsidRPr="00367070">
        <w:rPr>
          <w:i/>
          <w:iCs/>
        </w:rPr>
        <w:t>Am J Public Health</w:t>
      </w:r>
      <w:r w:rsidRPr="001D013F">
        <w:t>. 2009;99(11):1967</w:t>
      </w:r>
      <w:r>
        <w:t>–</w:t>
      </w:r>
      <w:r w:rsidRPr="001D013F">
        <w:t>1974</w:t>
      </w:r>
    </w:p>
    <w:p w14:paraId="2CBEB0C6" w14:textId="78D2A99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Wesson DE, </w:t>
      </w:r>
      <w:proofErr w:type="spellStart"/>
      <w:r w:rsidRPr="001D013F">
        <w:t>Kitzman</w:t>
      </w:r>
      <w:proofErr w:type="spellEnd"/>
      <w:r w:rsidRPr="001D013F">
        <w:t xml:space="preserve"> HE. How academic health systems can achieve population health in vulnerable populations through value-based care: </w:t>
      </w:r>
      <w:r>
        <w:t>t</w:t>
      </w:r>
      <w:r w:rsidRPr="001D013F">
        <w:t xml:space="preserve">he critical importance of establishing trusted agency. </w:t>
      </w:r>
      <w:proofErr w:type="spellStart"/>
      <w:r w:rsidRPr="00367070">
        <w:rPr>
          <w:i/>
          <w:iCs/>
        </w:rPr>
        <w:t>Acad</w:t>
      </w:r>
      <w:proofErr w:type="spellEnd"/>
      <w:r w:rsidRPr="00367070">
        <w:rPr>
          <w:i/>
          <w:iCs/>
        </w:rPr>
        <w:t xml:space="preserve"> Med</w:t>
      </w:r>
      <w:r w:rsidRPr="001D013F">
        <w:t>. 2018;93(6):839</w:t>
      </w:r>
      <w:r>
        <w:t>–</w:t>
      </w:r>
      <w:r w:rsidRPr="001D013F">
        <w:t>842</w:t>
      </w:r>
    </w:p>
    <w:p w14:paraId="2A905926" w14:textId="44C1DCF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Wilkins CH, Alberti PM. Shifting academic health centers from a culture of community service to community engagement and integration. </w:t>
      </w:r>
      <w:proofErr w:type="spellStart"/>
      <w:r w:rsidRPr="00367070">
        <w:rPr>
          <w:i/>
          <w:iCs/>
        </w:rPr>
        <w:t>Acad</w:t>
      </w:r>
      <w:proofErr w:type="spellEnd"/>
      <w:r w:rsidRPr="00367070">
        <w:rPr>
          <w:i/>
          <w:iCs/>
        </w:rPr>
        <w:t xml:space="preserve"> Med</w:t>
      </w:r>
      <w:r w:rsidRPr="001D013F">
        <w:t>. 2019;94(6):763</w:t>
      </w:r>
      <w:r>
        <w:t>–</w:t>
      </w:r>
      <w:r w:rsidRPr="001D013F">
        <w:t>767</w:t>
      </w:r>
    </w:p>
    <w:p w14:paraId="7EB8C9A3" w14:textId="5C464C4A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Smitherman HC, Baker RS, Wilson MR. Socially accountable academic health centers: </w:t>
      </w:r>
      <w:r>
        <w:t>p</w:t>
      </w:r>
      <w:r w:rsidRPr="001D013F">
        <w:t xml:space="preserve">ursuing a quadripartite mission. </w:t>
      </w:r>
      <w:proofErr w:type="spellStart"/>
      <w:r w:rsidRPr="00367070">
        <w:rPr>
          <w:i/>
          <w:iCs/>
        </w:rPr>
        <w:t>Acad</w:t>
      </w:r>
      <w:proofErr w:type="spellEnd"/>
      <w:r w:rsidRPr="00367070">
        <w:rPr>
          <w:i/>
          <w:iCs/>
        </w:rPr>
        <w:t xml:space="preserve"> Med</w:t>
      </w:r>
      <w:r w:rsidRPr="001D013F">
        <w:t>. 2019;94(2):176</w:t>
      </w:r>
      <w:r>
        <w:t>–</w:t>
      </w:r>
      <w:r w:rsidRPr="001D013F">
        <w:t>18</w:t>
      </w:r>
      <w:r>
        <w:t>1</w:t>
      </w:r>
    </w:p>
    <w:p w14:paraId="121C7352" w14:textId="0FE98FF2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Kahn RS, </w:t>
      </w:r>
      <w:proofErr w:type="spellStart"/>
      <w:r w:rsidRPr="001D013F">
        <w:t>Iyer</w:t>
      </w:r>
      <w:proofErr w:type="spellEnd"/>
      <w:r w:rsidRPr="001D013F">
        <w:t xml:space="preserve"> SB, </w:t>
      </w:r>
      <w:proofErr w:type="spellStart"/>
      <w:r w:rsidRPr="001D013F">
        <w:t>Kotagal</w:t>
      </w:r>
      <w:proofErr w:type="spellEnd"/>
      <w:r w:rsidRPr="001D013F">
        <w:t xml:space="preserve"> UR. Development of a child health learning network to improve population health outcomes; </w:t>
      </w:r>
      <w:r>
        <w:t>p</w:t>
      </w:r>
      <w:r w:rsidRPr="001D013F">
        <w:t xml:space="preserve">resented in </w:t>
      </w:r>
      <w:r>
        <w:t>h</w:t>
      </w:r>
      <w:r w:rsidRPr="001D013F">
        <w:t xml:space="preserve">onor of Dr Robert Haggerty. </w:t>
      </w:r>
      <w:proofErr w:type="spellStart"/>
      <w:r w:rsidRPr="006741C4">
        <w:rPr>
          <w:i/>
          <w:iCs/>
        </w:rPr>
        <w:t>Acad</w:t>
      </w:r>
      <w:proofErr w:type="spellEnd"/>
      <w:r w:rsidRPr="006741C4">
        <w:rPr>
          <w:i/>
          <w:iCs/>
        </w:rPr>
        <w:t xml:space="preserve"> </w:t>
      </w:r>
      <w:proofErr w:type="spellStart"/>
      <w:r w:rsidRPr="006741C4">
        <w:rPr>
          <w:i/>
          <w:iCs/>
        </w:rPr>
        <w:t>Pediatr</w:t>
      </w:r>
      <w:proofErr w:type="spellEnd"/>
      <w:r w:rsidRPr="001D013F">
        <w:t>. 2017;17(6):607</w:t>
      </w:r>
      <w:r>
        <w:t>–</w:t>
      </w:r>
      <w:r w:rsidRPr="001D013F">
        <w:t>613</w:t>
      </w:r>
    </w:p>
    <w:p w14:paraId="6880C310" w14:textId="0E440152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Henize</w:t>
      </w:r>
      <w:proofErr w:type="spellEnd"/>
      <w:r w:rsidRPr="001D013F">
        <w:t xml:space="preserve"> AW, Beck AF, Klein MD, Adams M, Kahn RS. A road map to address the social determinants of health through community collaboration. </w:t>
      </w:r>
      <w:r w:rsidRPr="006741C4">
        <w:rPr>
          <w:i/>
          <w:iCs/>
        </w:rPr>
        <w:t>Pediatrics</w:t>
      </w:r>
      <w:r w:rsidRPr="001D013F">
        <w:t>. 2015;136(4)</w:t>
      </w:r>
      <w:r>
        <w:t>. Available at: www.pediatrics.org/cgi/content/full/136/e993</w:t>
      </w:r>
    </w:p>
    <w:p w14:paraId="2EC83872" w14:textId="61F3686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Carroll-Scott A, Henson RM, </w:t>
      </w:r>
      <w:proofErr w:type="spellStart"/>
      <w:r w:rsidRPr="001D013F">
        <w:t>Kolker</w:t>
      </w:r>
      <w:proofErr w:type="spellEnd"/>
      <w:r w:rsidRPr="001D013F">
        <w:t xml:space="preserve"> J, </w:t>
      </w:r>
      <w:proofErr w:type="spellStart"/>
      <w:r w:rsidRPr="001D013F">
        <w:t>Purtle</w:t>
      </w:r>
      <w:proofErr w:type="spellEnd"/>
      <w:r w:rsidRPr="001D013F">
        <w:t xml:space="preserve"> J. The role of nonprofit hospitals in identifying and addressing health inequities in cities. </w:t>
      </w:r>
      <w:r w:rsidRPr="006741C4">
        <w:rPr>
          <w:i/>
          <w:iCs/>
        </w:rPr>
        <w:t xml:space="preserve">Health </w:t>
      </w:r>
      <w:proofErr w:type="spellStart"/>
      <w:r w:rsidRPr="006741C4">
        <w:rPr>
          <w:i/>
          <w:iCs/>
        </w:rPr>
        <w:t>Aff</w:t>
      </w:r>
      <w:proofErr w:type="spellEnd"/>
      <w:r w:rsidRPr="006741C4">
        <w:rPr>
          <w:i/>
          <w:iCs/>
        </w:rPr>
        <w:t xml:space="preserve"> (Millwood)</w:t>
      </w:r>
      <w:r w:rsidRPr="001D013F">
        <w:t>. 2017;36(6):1102</w:t>
      </w:r>
      <w:r>
        <w:t>–</w:t>
      </w:r>
      <w:r w:rsidRPr="001D013F">
        <w:t>1109</w:t>
      </w:r>
    </w:p>
    <w:p w14:paraId="522A3C03" w14:textId="792200B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Alberti PM, Sutton KM, Cooper LA, Lane WG, Stephens S, </w:t>
      </w:r>
      <w:proofErr w:type="spellStart"/>
      <w:r w:rsidRPr="001D013F">
        <w:t>Gourdine</w:t>
      </w:r>
      <w:proofErr w:type="spellEnd"/>
      <w:r w:rsidRPr="001D013F">
        <w:t xml:space="preserve"> MA. Communities, social justice, and academic health centers. </w:t>
      </w:r>
      <w:proofErr w:type="spellStart"/>
      <w:r w:rsidRPr="006741C4">
        <w:rPr>
          <w:i/>
          <w:iCs/>
        </w:rPr>
        <w:t>Acad</w:t>
      </w:r>
      <w:proofErr w:type="spellEnd"/>
      <w:r w:rsidRPr="006741C4">
        <w:rPr>
          <w:i/>
          <w:iCs/>
        </w:rPr>
        <w:t xml:space="preserve"> Med</w:t>
      </w:r>
      <w:r w:rsidRPr="001D013F">
        <w:t>. 2018;93(1):20</w:t>
      </w:r>
      <w:r>
        <w:t>–</w:t>
      </w:r>
      <w:r w:rsidRPr="001D013F">
        <w:t>24</w:t>
      </w:r>
    </w:p>
    <w:p w14:paraId="394D2DAF" w14:textId="156DF8A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Klein MD, Beck AF, </w:t>
      </w:r>
      <w:proofErr w:type="spellStart"/>
      <w:r w:rsidRPr="001D013F">
        <w:t>Henize</w:t>
      </w:r>
      <w:proofErr w:type="spellEnd"/>
      <w:r w:rsidRPr="001D013F">
        <w:t xml:space="preserve"> AW, Parrish DS, Fink EE, Kahn RS. Doctors and lawyers collaborating to </w:t>
      </w:r>
      <w:proofErr w:type="spellStart"/>
      <w:r w:rsidRPr="001D013F">
        <w:t>HeLP</w:t>
      </w:r>
      <w:proofErr w:type="spellEnd"/>
      <w:r w:rsidRPr="001D013F">
        <w:t xml:space="preserve"> children</w:t>
      </w:r>
      <w:r>
        <w:t>–</w:t>
      </w:r>
      <w:r w:rsidRPr="001D013F">
        <w:t xml:space="preserve">outcomes from a successful partnership between professions. </w:t>
      </w:r>
      <w:r w:rsidRPr="006741C4">
        <w:rPr>
          <w:i/>
          <w:iCs/>
        </w:rPr>
        <w:t>J Health Care Poor Underserved</w:t>
      </w:r>
      <w:r w:rsidRPr="001D013F">
        <w:t>. 2013;24(3):1063</w:t>
      </w:r>
      <w:r>
        <w:t>–</w:t>
      </w:r>
      <w:r w:rsidRPr="001D013F">
        <w:t>1073</w:t>
      </w:r>
    </w:p>
    <w:p w14:paraId="60DE704F" w14:textId="495A2DDC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Regenstein M, Trott J, Williamson A, </w:t>
      </w:r>
      <w:proofErr w:type="spellStart"/>
      <w:r w:rsidRPr="001D013F">
        <w:t>Theiss</w:t>
      </w:r>
      <w:proofErr w:type="spellEnd"/>
      <w:r w:rsidRPr="001D013F">
        <w:t xml:space="preserve"> J. Addressing social determinants of health through medical-legal partnerships. </w:t>
      </w:r>
      <w:r w:rsidRPr="006741C4">
        <w:rPr>
          <w:i/>
          <w:iCs/>
        </w:rPr>
        <w:t xml:space="preserve">Health </w:t>
      </w:r>
      <w:proofErr w:type="spellStart"/>
      <w:r w:rsidRPr="006741C4">
        <w:rPr>
          <w:i/>
          <w:iCs/>
        </w:rPr>
        <w:t>Aff</w:t>
      </w:r>
      <w:proofErr w:type="spellEnd"/>
      <w:r w:rsidRPr="006741C4">
        <w:rPr>
          <w:i/>
          <w:iCs/>
        </w:rPr>
        <w:t xml:space="preserve"> (Millwood)</w:t>
      </w:r>
      <w:r w:rsidRPr="001D013F">
        <w:t>. 2018;37(3):378</w:t>
      </w:r>
      <w:r>
        <w:t>–</w:t>
      </w:r>
      <w:r w:rsidRPr="001D013F">
        <w:t>385</w:t>
      </w:r>
    </w:p>
    <w:p w14:paraId="50876974" w14:textId="15EEE101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Sandel M, Hansen M, Kahn R, et al. Medical-legal partnerships: transforming primary care by addressing the legal needs of vulnerable populations. </w:t>
      </w:r>
      <w:r w:rsidRPr="006741C4">
        <w:rPr>
          <w:i/>
          <w:iCs/>
        </w:rPr>
        <w:t xml:space="preserve">Health </w:t>
      </w:r>
      <w:proofErr w:type="spellStart"/>
      <w:r w:rsidRPr="006741C4">
        <w:rPr>
          <w:i/>
          <w:iCs/>
        </w:rPr>
        <w:t>Aff</w:t>
      </w:r>
      <w:proofErr w:type="spellEnd"/>
      <w:r w:rsidRPr="006741C4">
        <w:rPr>
          <w:i/>
          <w:iCs/>
        </w:rPr>
        <w:t xml:space="preserve"> (Millwood)</w:t>
      </w:r>
      <w:r w:rsidRPr="001D013F">
        <w:t>. 2010;29(9):1697</w:t>
      </w:r>
      <w:r>
        <w:t>–</w:t>
      </w:r>
      <w:r w:rsidRPr="001D013F">
        <w:t>1705</w:t>
      </w:r>
    </w:p>
    <w:p w14:paraId="75E57069" w14:textId="0963066B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Treyvaud</w:t>
      </w:r>
      <w:proofErr w:type="spellEnd"/>
      <w:r w:rsidRPr="001D013F">
        <w:t xml:space="preserve"> K, Spittle A, Anderson PJ, O’Brien K. A multilayered approach is needed in the NICU to support parents after the preterm birth of their infant. </w:t>
      </w:r>
      <w:r w:rsidRPr="006741C4">
        <w:rPr>
          <w:i/>
          <w:iCs/>
        </w:rPr>
        <w:t>Early Hum Dev</w:t>
      </w:r>
      <w:r w:rsidRPr="001D013F">
        <w:t xml:space="preserve">. </w:t>
      </w:r>
      <w:proofErr w:type="gramStart"/>
      <w:r>
        <w:t>2019;139:104838</w:t>
      </w:r>
      <w:proofErr w:type="gramEnd"/>
    </w:p>
    <w:p w14:paraId="7E167436" w14:textId="71FA8947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Davidson JE, </w:t>
      </w:r>
      <w:proofErr w:type="spellStart"/>
      <w:r w:rsidRPr="001D013F">
        <w:t>Aslakson</w:t>
      </w:r>
      <w:proofErr w:type="spellEnd"/>
      <w:r w:rsidRPr="001D013F">
        <w:t xml:space="preserve"> RA, Long AC, et al. Guidelines for family-centered care in the neonatal, pediatric, and adult ICU. </w:t>
      </w:r>
      <w:r w:rsidRPr="006741C4">
        <w:rPr>
          <w:i/>
          <w:iCs/>
        </w:rPr>
        <w:t>Crit Care Med</w:t>
      </w:r>
      <w:r w:rsidRPr="001D013F">
        <w:t>. 2017;45(1):103</w:t>
      </w:r>
      <w:r>
        <w:t>–</w:t>
      </w:r>
      <w:r w:rsidRPr="001D013F">
        <w:t>128</w:t>
      </w:r>
    </w:p>
    <w:p w14:paraId="3E75366D" w14:textId="6359D3B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Brett J, </w:t>
      </w:r>
      <w:proofErr w:type="spellStart"/>
      <w:r w:rsidRPr="001D013F">
        <w:t>Staniszewska</w:t>
      </w:r>
      <w:proofErr w:type="spellEnd"/>
      <w:r w:rsidRPr="001D013F">
        <w:t xml:space="preserve"> S, Newburn M, Jones N, Taylor L. A systematic mapping review of effective interventions for communicating with, </w:t>
      </w:r>
      <w:proofErr w:type="gramStart"/>
      <w:r w:rsidRPr="001D013F">
        <w:t>supporting</w:t>
      </w:r>
      <w:proofErr w:type="gramEnd"/>
      <w:r w:rsidRPr="001D013F">
        <w:t xml:space="preserve"> and providing information to parents of preterm infants. </w:t>
      </w:r>
      <w:r w:rsidRPr="006741C4">
        <w:rPr>
          <w:i/>
          <w:iCs/>
        </w:rPr>
        <w:t>BMJ Open</w:t>
      </w:r>
      <w:r w:rsidRPr="001D013F">
        <w:t>. 2011;1(1</w:t>
      </w:r>
      <w:proofErr w:type="gramStart"/>
      <w:r w:rsidRPr="001D013F">
        <w:t>)</w:t>
      </w:r>
      <w:r>
        <w:t>:e</w:t>
      </w:r>
      <w:proofErr w:type="gramEnd"/>
      <w:r>
        <w:t>000023</w:t>
      </w:r>
    </w:p>
    <w:p w14:paraId="31B5C259" w14:textId="12F8B7C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Haroz</w:t>
      </w:r>
      <w:proofErr w:type="spellEnd"/>
      <w:r w:rsidRPr="001D013F">
        <w:t xml:space="preserve"> EE, Ingalls A, </w:t>
      </w:r>
      <w:proofErr w:type="spellStart"/>
      <w:r w:rsidRPr="001D013F">
        <w:t>Wadlin</w:t>
      </w:r>
      <w:proofErr w:type="spellEnd"/>
      <w:r w:rsidRPr="001D013F">
        <w:t xml:space="preserve"> J, et al. Utilizing broad-based partnerships to design a precision approach to implementing evidence-based home visiting. </w:t>
      </w:r>
      <w:r w:rsidRPr="006741C4">
        <w:rPr>
          <w:i/>
          <w:iCs/>
        </w:rPr>
        <w:t>J Community Psychol</w:t>
      </w:r>
      <w:r w:rsidRPr="001D013F">
        <w:t xml:space="preserve">. </w:t>
      </w:r>
      <w:r>
        <w:t>2020;</w:t>
      </w:r>
      <w:r w:rsidRPr="001D013F">
        <w:t>48(4):1100</w:t>
      </w:r>
      <w:r>
        <w:t>–</w:t>
      </w:r>
      <w:r w:rsidRPr="001D013F">
        <w:t>1113</w:t>
      </w:r>
    </w:p>
    <w:p w14:paraId="24EDA680" w14:textId="52363457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Shaw RJ, St John N, Lilo E, et al. Prevention of traumatic stress in mothers of </w:t>
      </w:r>
      <w:proofErr w:type="spellStart"/>
      <w:r w:rsidRPr="001D013F">
        <w:t>preterms</w:t>
      </w:r>
      <w:proofErr w:type="spellEnd"/>
      <w:r w:rsidRPr="001D013F">
        <w:t xml:space="preserve">: 6-month outcomes. </w:t>
      </w:r>
      <w:r w:rsidRPr="006741C4">
        <w:rPr>
          <w:i/>
          <w:iCs/>
        </w:rPr>
        <w:t>Pediatrics</w:t>
      </w:r>
      <w:r w:rsidRPr="001D013F">
        <w:t>. 2014;134(2)</w:t>
      </w:r>
      <w:r>
        <w:t>. Available at: www.pediatrics.org/cgi/content/full/134/2/e481</w:t>
      </w:r>
    </w:p>
    <w:p w14:paraId="4C1951FE" w14:textId="3756520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Shaw RJ, Bernard RS, Deblois T, Ikuta LM, Ginzburg K, Koopman C. The relationship between acute stress disorder and posttraumatic stress disorder in the neonatal intensive care unit. </w:t>
      </w:r>
      <w:r w:rsidRPr="006741C4">
        <w:rPr>
          <w:i/>
          <w:iCs/>
        </w:rPr>
        <w:t>Psychosomatics</w:t>
      </w:r>
      <w:r w:rsidRPr="001D013F">
        <w:t>. 2009;50(2):131</w:t>
      </w:r>
      <w:r>
        <w:t>–</w:t>
      </w:r>
      <w:r w:rsidRPr="001D013F">
        <w:t>137</w:t>
      </w:r>
    </w:p>
    <w:p w14:paraId="026B60C8" w14:textId="6AC9D3D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Roque ATF, </w:t>
      </w:r>
      <w:proofErr w:type="spellStart"/>
      <w:r w:rsidRPr="001D013F">
        <w:t>Lasiuk</w:t>
      </w:r>
      <w:proofErr w:type="spellEnd"/>
      <w:r w:rsidRPr="001D013F">
        <w:t xml:space="preserve"> GC, </w:t>
      </w:r>
      <w:proofErr w:type="spellStart"/>
      <w:r w:rsidRPr="001D013F">
        <w:t>Radünz</w:t>
      </w:r>
      <w:proofErr w:type="spellEnd"/>
      <w:r w:rsidRPr="001D013F">
        <w:t xml:space="preserve"> V, </w:t>
      </w:r>
      <w:proofErr w:type="spellStart"/>
      <w:r w:rsidRPr="001D013F">
        <w:t>Hegadoren</w:t>
      </w:r>
      <w:proofErr w:type="spellEnd"/>
      <w:r w:rsidRPr="001D013F">
        <w:t xml:space="preserve"> K. Scoping review of the mental health of parents of infants in the NICU. </w:t>
      </w:r>
      <w:r w:rsidRPr="006741C4">
        <w:rPr>
          <w:i/>
          <w:iCs/>
        </w:rPr>
        <w:t xml:space="preserve">J </w:t>
      </w:r>
      <w:proofErr w:type="spellStart"/>
      <w:r w:rsidRPr="006741C4">
        <w:rPr>
          <w:i/>
          <w:iCs/>
        </w:rPr>
        <w:t>Obstet</w:t>
      </w:r>
      <w:proofErr w:type="spellEnd"/>
      <w:r w:rsidRPr="006741C4">
        <w:rPr>
          <w:i/>
          <w:iCs/>
        </w:rPr>
        <w:t xml:space="preserve"> </w:t>
      </w:r>
      <w:proofErr w:type="spellStart"/>
      <w:r w:rsidRPr="006741C4">
        <w:rPr>
          <w:i/>
          <w:iCs/>
        </w:rPr>
        <w:t>Gynecol</w:t>
      </w:r>
      <w:proofErr w:type="spellEnd"/>
      <w:r w:rsidRPr="006741C4">
        <w:rPr>
          <w:i/>
          <w:iCs/>
        </w:rPr>
        <w:t xml:space="preserve"> Neonatal </w:t>
      </w:r>
      <w:proofErr w:type="spellStart"/>
      <w:r w:rsidRPr="006741C4">
        <w:rPr>
          <w:i/>
          <w:iCs/>
        </w:rPr>
        <w:t>Nurs</w:t>
      </w:r>
      <w:proofErr w:type="spellEnd"/>
      <w:r w:rsidRPr="001D013F">
        <w:t>. 2017;46(4):576</w:t>
      </w:r>
      <w:r>
        <w:t>–</w:t>
      </w:r>
      <w:r w:rsidRPr="001D013F">
        <w:t>587</w:t>
      </w:r>
    </w:p>
    <w:p w14:paraId="6C6C9486" w14:textId="0BAC446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Hatters Friedman S, Kessler A, Nagle Yang S, Parsons S, Friedman H, Martin RJ. Delivering perinatal psychiatric services in the neonatal intensive care unit. </w:t>
      </w:r>
      <w:r w:rsidRPr="006741C4">
        <w:rPr>
          <w:i/>
          <w:iCs/>
        </w:rPr>
        <w:t xml:space="preserve">Acta </w:t>
      </w:r>
      <w:proofErr w:type="spellStart"/>
      <w:r w:rsidRPr="006741C4">
        <w:rPr>
          <w:i/>
          <w:iCs/>
        </w:rPr>
        <w:t>Paediatr</w:t>
      </w:r>
      <w:proofErr w:type="spellEnd"/>
      <w:r w:rsidRPr="001D013F">
        <w:t>. 2013;102(9</w:t>
      </w:r>
      <w:proofErr w:type="gramStart"/>
      <w:r w:rsidRPr="001D013F">
        <w:t>):e</w:t>
      </w:r>
      <w:proofErr w:type="gramEnd"/>
      <w:r w:rsidRPr="001D013F">
        <w:t>392</w:t>
      </w:r>
      <w:r>
        <w:t>–</w:t>
      </w:r>
      <w:r w:rsidRPr="001D013F">
        <w:t>397</w:t>
      </w:r>
    </w:p>
    <w:p w14:paraId="1C8AB78B" w14:textId="7B086233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Greene MM, Rossman B, Patra K, </w:t>
      </w:r>
      <w:proofErr w:type="spellStart"/>
      <w:r w:rsidRPr="001D013F">
        <w:t>Kratovil</w:t>
      </w:r>
      <w:proofErr w:type="spellEnd"/>
      <w:r w:rsidRPr="001D013F">
        <w:t xml:space="preserve"> AL, Janes JE, Meier PP. Depression, anxiety, and perinatal-specific posttraumatic distress in mothers of very low birth weight infants in the neonatal intensive care unit. </w:t>
      </w:r>
      <w:r w:rsidRPr="006741C4">
        <w:rPr>
          <w:i/>
          <w:iCs/>
        </w:rPr>
        <w:t xml:space="preserve">J Dev </w:t>
      </w:r>
      <w:proofErr w:type="spellStart"/>
      <w:r w:rsidRPr="006741C4">
        <w:rPr>
          <w:i/>
          <w:iCs/>
        </w:rPr>
        <w:t>Behav</w:t>
      </w:r>
      <w:proofErr w:type="spellEnd"/>
      <w:r w:rsidRPr="006741C4">
        <w:rPr>
          <w:i/>
          <w:iCs/>
        </w:rPr>
        <w:t xml:space="preserve"> </w:t>
      </w:r>
      <w:proofErr w:type="spellStart"/>
      <w:r w:rsidRPr="006741C4">
        <w:rPr>
          <w:i/>
          <w:iCs/>
        </w:rPr>
        <w:t>Pediatr</w:t>
      </w:r>
      <w:proofErr w:type="spellEnd"/>
      <w:r w:rsidRPr="001D013F">
        <w:t>. 2015;36(5):362-370</w:t>
      </w:r>
    </w:p>
    <w:p w14:paraId="10B01868" w14:textId="36EC1E90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Walsh TB, Davis RN, Garfield C. A call to action: </w:t>
      </w:r>
      <w:r>
        <w:t>s</w:t>
      </w:r>
      <w:r w:rsidRPr="001D013F">
        <w:t xml:space="preserve">creening fathers for perinatal depression. </w:t>
      </w:r>
      <w:r w:rsidRPr="006741C4">
        <w:rPr>
          <w:i/>
          <w:iCs/>
        </w:rPr>
        <w:t>Pediatrics</w:t>
      </w:r>
      <w:r w:rsidRPr="001D013F">
        <w:t>. 2020;145(1</w:t>
      </w:r>
      <w:proofErr w:type="gramStart"/>
      <w:r w:rsidRPr="001D013F">
        <w:t>)</w:t>
      </w:r>
      <w:r>
        <w:t>:e</w:t>
      </w:r>
      <w:proofErr w:type="gramEnd"/>
      <w:r>
        <w:t>20191193</w:t>
      </w:r>
    </w:p>
    <w:p w14:paraId="4EA4F724" w14:textId="10789A5F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National Institute for Health and Care Excellence. </w:t>
      </w:r>
      <w:r w:rsidRPr="001D013F">
        <w:t xml:space="preserve">Smoking: stopping in pregnancy and after childbirth. </w:t>
      </w:r>
      <w:r>
        <w:t xml:space="preserve">Available at: </w:t>
      </w:r>
      <w:hyperlink r:id="rId15" w:history="1">
        <w:r w:rsidRPr="00D85947">
          <w:rPr>
            <w:rStyle w:val="Hyperlink"/>
          </w:rPr>
          <w:t>https://www.nice.org.uk/guidance/ph26</w:t>
        </w:r>
      </w:hyperlink>
      <w:r>
        <w:t xml:space="preserve">. </w:t>
      </w:r>
      <w:r w:rsidRPr="001D013F">
        <w:t>Accessed November 6, 2019</w:t>
      </w:r>
    </w:p>
    <w:p w14:paraId="29AA041C" w14:textId="3701082A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Phillips RM, Merritt TA, Goldstein MR, Deming DD, Slater LE, Angeles DM. Prevention of postpartum smoking relapse in mothers of infants in the neonatal intensive care unit. </w:t>
      </w:r>
      <w:r w:rsidRPr="006741C4">
        <w:rPr>
          <w:i/>
          <w:iCs/>
        </w:rPr>
        <w:t xml:space="preserve">J </w:t>
      </w:r>
      <w:proofErr w:type="spellStart"/>
      <w:r w:rsidRPr="006741C4">
        <w:rPr>
          <w:i/>
          <w:iCs/>
        </w:rPr>
        <w:t>Perinatol</w:t>
      </w:r>
      <w:proofErr w:type="spellEnd"/>
      <w:r w:rsidRPr="001D013F">
        <w:t>. 2012;32(5):374</w:t>
      </w:r>
      <w:r>
        <w:t>–</w:t>
      </w:r>
      <w:r w:rsidRPr="001D013F">
        <w:t>380</w:t>
      </w:r>
    </w:p>
    <w:p w14:paraId="7A6C6C74" w14:textId="13C24EB1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Nichols A, Clarke P, Notley C. Parental </w:t>
      </w:r>
      <w:proofErr w:type="gramStart"/>
      <w:r w:rsidRPr="001D013F">
        <w:t>smoking</w:t>
      </w:r>
      <w:proofErr w:type="gramEnd"/>
      <w:r w:rsidRPr="001D013F">
        <w:t xml:space="preserve"> and support in the NICU. </w:t>
      </w:r>
      <w:r w:rsidRPr="006741C4">
        <w:rPr>
          <w:i/>
          <w:iCs/>
        </w:rPr>
        <w:t>Arch Dis Child Fetal Neonatal Ed</w:t>
      </w:r>
      <w:r w:rsidRPr="001D013F">
        <w:t>. 2019;104(3</w:t>
      </w:r>
      <w:proofErr w:type="gramStart"/>
      <w:r w:rsidRPr="001D013F">
        <w:t>):F</w:t>
      </w:r>
      <w:proofErr w:type="gramEnd"/>
      <w:r w:rsidRPr="001D013F">
        <w:t>342</w:t>
      </w:r>
      <w:r>
        <w:t>–</w:t>
      </w:r>
      <w:r w:rsidRPr="001D013F">
        <w:t>F342</w:t>
      </w:r>
    </w:p>
    <w:p w14:paraId="2C898684" w14:textId="223E4F4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Stotts AL, Green C, Northrup TF, et al. Feasibility and efficacy of an intervention to reduce secondhand smoke exposure among infants discharged from a neonatal intensive care unit. </w:t>
      </w:r>
      <w:r w:rsidRPr="006741C4">
        <w:rPr>
          <w:i/>
          <w:iCs/>
        </w:rPr>
        <w:t xml:space="preserve">J </w:t>
      </w:r>
      <w:proofErr w:type="spellStart"/>
      <w:r w:rsidRPr="006741C4">
        <w:rPr>
          <w:i/>
          <w:iCs/>
        </w:rPr>
        <w:t>Perinatol</w:t>
      </w:r>
      <w:proofErr w:type="spellEnd"/>
      <w:r w:rsidRPr="001D013F">
        <w:t>. 2013;33(10):811</w:t>
      </w:r>
      <w:r>
        <w:t>–</w:t>
      </w:r>
      <w:r w:rsidRPr="001D013F">
        <w:t>816</w:t>
      </w:r>
    </w:p>
    <w:p w14:paraId="32FA50D8" w14:textId="51BA660C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Maguire DJ. Mothers on methadone: care in the NICU. </w:t>
      </w:r>
      <w:r w:rsidRPr="006741C4">
        <w:rPr>
          <w:i/>
          <w:iCs/>
        </w:rPr>
        <w:t xml:space="preserve">Neonatal </w:t>
      </w:r>
      <w:proofErr w:type="spellStart"/>
      <w:r w:rsidRPr="006741C4">
        <w:rPr>
          <w:i/>
          <w:iCs/>
        </w:rPr>
        <w:t>Netw</w:t>
      </w:r>
      <w:proofErr w:type="spellEnd"/>
      <w:r w:rsidRPr="001D013F">
        <w:t>. 2013;32(6):409</w:t>
      </w:r>
      <w:r>
        <w:t>–</w:t>
      </w:r>
      <w:r w:rsidRPr="001D013F">
        <w:t>415</w:t>
      </w:r>
    </w:p>
    <w:p w14:paraId="47FC2E9B" w14:textId="19DBDDDF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Stotts AL, Klawans MR, Northrup TF, Villarreal Y, </w:t>
      </w:r>
      <w:proofErr w:type="spellStart"/>
      <w:r w:rsidRPr="001D013F">
        <w:t>Hovell</w:t>
      </w:r>
      <w:proofErr w:type="spellEnd"/>
      <w:r w:rsidRPr="001D013F">
        <w:t xml:space="preserve"> MF. Understanding motivation to implement smoking bans among mothers with a hospitalized infant. </w:t>
      </w:r>
      <w:r w:rsidRPr="00920DAF">
        <w:rPr>
          <w:i/>
          <w:iCs/>
        </w:rPr>
        <w:t xml:space="preserve">Addict </w:t>
      </w:r>
      <w:proofErr w:type="spellStart"/>
      <w:r w:rsidRPr="00920DAF">
        <w:rPr>
          <w:i/>
          <w:iCs/>
        </w:rPr>
        <w:t>Behav</w:t>
      </w:r>
      <w:proofErr w:type="spellEnd"/>
      <w:r w:rsidRPr="001D013F">
        <w:t xml:space="preserve">. </w:t>
      </w:r>
      <w:proofErr w:type="gramStart"/>
      <w:r w:rsidRPr="001D013F">
        <w:t>2016;58:60</w:t>
      </w:r>
      <w:proofErr w:type="gramEnd"/>
      <w:r>
        <w:t>–</w:t>
      </w:r>
      <w:r w:rsidRPr="001D013F">
        <w:t>67</w:t>
      </w:r>
    </w:p>
    <w:p w14:paraId="3094DCBB" w14:textId="4A7726B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Pollack CE, Blackford AL, Du S, Deluca S, Thornton RLJ, Herring B. Association of receipt of a housing voucher with subsequent hospital utilization and spending. </w:t>
      </w:r>
      <w:r w:rsidRPr="00920DAF">
        <w:rPr>
          <w:i/>
          <w:iCs/>
        </w:rPr>
        <w:t>JAMA</w:t>
      </w:r>
      <w:r w:rsidRPr="001D013F">
        <w:t>. 2019;322(21):2115</w:t>
      </w:r>
      <w:r>
        <w:t>–</w:t>
      </w:r>
      <w:r w:rsidRPr="001D013F">
        <w:t>2124</w:t>
      </w:r>
    </w:p>
    <w:p w14:paraId="59E4C567" w14:textId="3890609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Zupancic JAF. Societal </w:t>
      </w:r>
      <w:r>
        <w:t>c</w:t>
      </w:r>
      <w:r w:rsidRPr="001D013F">
        <w:t xml:space="preserve">osts of </w:t>
      </w:r>
      <w:r>
        <w:t>p</w:t>
      </w:r>
      <w:r w:rsidRPr="001D013F">
        <w:t xml:space="preserve">reterm </w:t>
      </w:r>
      <w:r>
        <w:t>b</w:t>
      </w:r>
      <w:r w:rsidRPr="001D013F">
        <w:t xml:space="preserve">irth. In: </w:t>
      </w:r>
      <w:r w:rsidRPr="00920DAF">
        <w:rPr>
          <w:i/>
          <w:iCs/>
        </w:rPr>
        <w:t>Preterm Birth: Causes, Consequences, and Prevention</w:t>
      </w:r>
      <w:r w:rsidRPr="001D013F">
        <w:t xml:space="preserve">. </w:t>
      </w:r>
      <w:r>
        <w:t xml:space="preserve">Washington, DC: </w:t>
      </w:r>
      <w:r w:rsidRPr="001D013F">
        <w:t>National Academies Press; 2019</w:t>
      </w:r>
      <w:r>
        <w:t>:389-429</w:t>
      </w:r>
    </w:p>
    <w:p w14:paraId="3875E798" w14:textId="5779CA3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Pineda R, Bender J, Hall B, </w:t>
      </w:r>
      <w:proofErr w:type="spellStart"/>
      <w:r w:rsidRPr="001D013F">
        <w:t>Shabosky</w:t>
      </w:r>
      <w:proofErr w:type="spellEnd"/>
      <w:r w:rsidRPr="001D013F">
        <w:t xml:space="preserve"> L, </w:t>
      </w:r>
      <w:proofErr w:type="spellStart"/>
      <w:r w:rsidRPr="001D013F">
        <w:t>Annecca</w:t>
      </w:r>
      <w:proofErr w:type="spellEnd"/>
      <w:r w:rsidRPr="001D013F">
        <w:t xml:space="preserve"> A, Smith J. Parent participation in the neonatal intensive care unit: </w:t>
      </w:r>
      <w:r>
        <w:t>p</w:t>
      </w:r>
      <w:r w:rsidRPr="001D013F">
        <w:t xml:space="preserve">redictors and relationships to neurobehavior and developmental outcomes. </w:t>
      </w:r>
      <w:r w:rsidRPr="00920DAF">
        <w:rPr>
          <w:i/>
          <w:iCs/>
        </w:rPr>
        <w:t>Early Hum Dev</w:t>
      </w:r>
      <w:r w:rsidRPr="001D013F">
        <w:t xml:space="preserve">. </w:t>
      </w:r>
      <w:proofErr w:type="gramStart"/>
      <w:r w:rsidRPr="001D013F">
        <w:t>2018;117:32</w:t>
      </w:r>
      <w:proofErr w:type="gramEnd"/>
      <w:r>
        <w:t>–</w:t>
      </w:r>
      <w:r w:rsidRPr="001D013F">
        <w:t>38</w:t>
      </w:r>
    </w:p>
    <w:p w14:paraId="1E4290A1" w14:textId="6C00CAFC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Klawetter</w:t>
      </w:r>
      <w:proofErr w:type="spellEnd"/>
      <w:r w:rsidRPr="001D013F">
        <w:t xml:space="preserve"> S, Greenfield JC, Speer SR, Brown K, Hwang SS. An integrative review: maternal engagement in the neonatal intensive care unit and health outcomes for U.S.-born preterm infants and their parents. </w:t>
      </w:r>
      <w:r w:rsidRPr="00920DAF">
        <w:rPr>
          <w:i/>
          <w:iCs/>
        </w:rPr>
        <w:t>AIMS Public Health</w:t>
      </w:r>
      <w:r w:rsidRPr="001D013F">
        <w:t>. 2019;6(2):160</w:t>
      </w:r>
      <w:r>
        <w:t>–</w:t>
      </w:r>
      <w:r w:rsidRPr="001D013F">
        <w:t>183</w:t>
      </w:r>
    </w:p>
    <w:p w14:paraId="7AB3453B" w14:textId="12D6E28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Hodek</w:t>
      </w:r>
      <w:proofErr w:type="spellEnd"/>
      <w:r w:rsidRPr="001D013F">
        <w:t xml:space="preserve"> J-M, von der Schulenburg J-M, </w:t>
      </w:r>
      <w:proofErr w:type="spellStart"/>
      <w:r w:rsidRPr="001D013F">
        <w:t>Mittendorf</w:t>
      </w:r>
      <w:proofErr w:type="spellEnd"/>
      <w:r w:rsidRPr="001D013F">
        <w:t xml:space="preserve"> T. Measuring economic consequences of preterm birth - Methodological recommendations for the evaluation of personal burden on children and their caregivers. </w:t>
      </w:r>
      <w:r w:rsidRPr="00920DAF">
        <w:rPr>
          <w:i/>
          <w:iCs/>
        </w:rPr>
        <w:t>Health Econ Rev</w:t>
      </w:r>
      <w:r w:rsidRPr="001D013F">
        <w:t xml:space="preserve">. </w:t>
      </w:r>
      <w:proofErr w:type="gramStart"/>
      <w:r w:rsidRPr="001D013F">
        <w:t>2011;1:6</w:t>
      </w:r>
      <w:proofErr w:type="gramEnd"/>
    </w:p>
    <w:p w14:paraId="4A73D2FB" w14:textId="38CC2DDF" w:rsidR="006467C8" w:rsidRPr="001D013F" w:rsidRDefault="00DC6F42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>F</w:t>
      </w:r>
      <w:r w:rsidR="006467C8" w:rsidRPr="001D013F">
        <w:t xml:space="preserve">ranck LS, Ferguson D, </w:t>
      </w:r>
      <w:proofErr w:type="spellStart"/>
      <w:r w:rsidR="006467C8" w:rsidRPr="001D013F">
        <w:t>Fryda</w:t>
      </w:r>
      <w:proofErr w:type="spellEnd"/>
      <w:r w:rsidR="006467C8" w:rsidRPr="001D013F">
        <w:t xml:space="preserve"> S, Rubin N. The child and family hospital experience: </w:t>
      </w:r>
      <w:r w:rsidR="006467C8">
        <w:t>i</w:t>
      </w:r>
      <w:r w:rsidR="006467C8" w:rsidRPr="001D013F">
        <w:t xml:space="preserve">s it influenced by family accommodation? </w:t>
      </w:r>
      <w:r w:rsidR="006467C8" w:rsidRPr="00E25203">
        <w:rPr>
          <w:i/>
          <w:iCs/>
        </w:rPr>
        <w:t>Med Care Res Rev</w:t>
      </w:r>
      <w:r w:rsidR="006467C8" w:rsidRPr="001D013F">
        <w:t>. 2015;72(4):419</w:t>
      </w:r>
      <w:r w:rsidR="006467C8">
        <w:t>–</w:t>
      </w:r>
      <w:r w:rsidR="006467C8" w:rsidRPr="001D013F">
        <w:t>437</w:t>
      </w:r>
    </w:p>
    <w:p w14:paraId="5871CC69" w14:textId="58DA0812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Beck AF, Klein MD, </w:t>
      </w:r>
      <w:proofErr w:type="spellStart"/>
      <w:r w:rsidRPr="001D013F">
        <w:t>Schaffzin</w:t>
      </w:r>
      <w:proofErr w:type="spellEnd"/>
      <w:r w:rsidRPr="001D013F">
        <w:t xml:space="preserve"> JK, </w:t>
      </w:r>
      <w:proofErr w:type="spellStart"/>
      <w:r w:rsidRPr="001D013F">
        <w:t>Tallent</w:t>
      </w:r>
      <w:proofErr w:type="spellEnd"/>
      <w:r w:rsidRPr="001D013F">
        <w:t xml:space="preserve"> V, Gillam M, Kahn RS. Identifying and treating a substandard housing cluster using a medical-legal partnership. </w:t>
      </w:r>
      <w:r w:rsidRPr="00E25203">
        <w:rPr>
          <w:i/>
          <w:iCs/>
        </w:rPr>
        <w:t>Pediatrics</w:t>
      </w:r>
      <w:r w:rsidRPr="001D013F">
        <w:t>. 2012;130(5):831</w:t>
      </w:r>
      <w:r>
        <w:t>–</w:t>
      </w:r>
      <w:r w:rsidRPr="001D013F">
        <w:t>838</w:t>
      </w:r>
    </w:p>
    <w:p w14:paraId="20BBC132" w14:textId="144AC69A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US Department of Health and Human Services; National Institutes of Health; Eunice Kennedy Shriver National Institute of Child Health and Human Development. </w:t>
      </w:r>
      <w:r w:rsidRPr="001D013F">
        <w:t xml:space="preserve">Babies </w:t>
      </w:r>
      <w:r>
        <w:t>s</w:t>
      </w:r>
      <w:r w:rsidRPr="001D013F">
        <w:t xml:space="preserve">leep </w:t>
      </w:r>
      <w:r>
        <w:t>s</w:t>
      </w:r>
      <w:r w:rsidRPr="001D013F">
        <w:t xml:space="preserve">afest on </w:t>
      </w:r>
      <w:r>
        <w:t>t</w:t>
      </w:r>
      <w:r w:rsidRPr="001D013F">
        <w:t xml:space="preserve">heir </w:t>
      </w:r>
      <w:r>
        <w:t>b</w:t>
      </w:r>
      <w:r w:rsidRPr="001D013F">
        <w:t xml:space="preserve">acks: </w:t>
      </w:r>
      <w:r>
        <w:t>a</w:t>
      </w:r>
      <w:r w:rsidRPr="001D013F">
        <w:t xml:space="preserve"> </w:t>
      </w:r>
      <w:r>
        <w:t>r</w:t>
      </w:r>
      <w:r w:rsidRPr="001D013F">
        <w:t xml:space="preserve">esource </w:t>
      </w:r>
      <w:r>
        <w:t>k</w:t>
      </w:r>
      <w:r w:rsidRPr="001D013F">
        <w:t xml:space="preserve">it for </w:t>
      </w:r>
      <w:r>
        <w:t>r</w:t>
      </w:r>
      <w:r w:rsidRPr="001D013F">
        <w:t xml:space="preserve">educing the </w:t>
      </w:r>
      <w:r>
        <w:t>r</w:t>
      </w:r>
      <w:r w:rsidRPr="001D013F">
        <w:t xml:space="preserve">isk of </w:t>
      </w:r>
      <w:r>
        <w:t>s</w:t>
      </w:r>
      <w:r w:rsidRPr="001D013F">
        <w:t xml:space="preserve">udden </w:t>
      </w:r>
      <w:r>
        <w:t>i</w:t>
      </w:r>
      <w:r w:rsidRPr="001D013F">
        <w:t xml:space="preserve">nfant </w:t>
      </w:r>
      <w:r>
        <w:t>d</w:t>
      </w:r>
      <w:r w:rsidRPr="001D013F">
        <w:t xml:space="preserve">eath </w:t>
      </w:r>
      <w:r>
        <w:t>s</w:t>
      </w:r>
      <w:r w:rsidRPr="001D013F">
        <w:t xml:space="preserve">yndrome in African American </w:t>
      </w:r>
      <w:r>
        <w:t>c</w:t>
      </w:r>
      <w:r w:rsidRPr="001D013F">
        <w:t>ommunities.</w:t>
      </w:r>
      <w:r>
        <w:t xml:space="preserve"> Available at: </w:t>
      </w:r>
      <w:r w:rsidRPr="001D013F">
        <w:t xml:space="preserve"> </w:t>
      </w:r>
      <w:hyperlink r:id="rId16" w:history="1">
        <w:r w:rsidRPr="00D85947">
          <w:rPr>
            <w:rStyle w:val="Hyperlink"/>
          </w:rPr>
          <w:t>https://www.nichd.nih.gov/sites/default/files/publications/pubs/documents/SIDS_resourcekit_rev.pdf</w:t>
        </w:r>
      </w:hyperlink>
      <w:r>
        <w:t xml:space="preserve">. </w:t>
      </w:r>
      <w:r w:rsidRPr="001D013F">
        <w:t>Accessed December 19, 2019</w:t>
      </w:r>
    </w:p>
    <w:p w14:paraId="5DEF67F7" w14:textId="71F0399A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Salm Ward TC, Balfour GM. Infant safe sleep interventions, 1990–2015: </w:t>
      </w:r>
      <w:r>
        <w:t>a</w:t>
      </w:r>
      <w:r w:rsidRPr="001D013F">
        <w:t xml:space="preserve"> review. J</w:t>
      </w:r>
      <w:r w:rsidRPr="00E25203">
        <w:rPr>
          <w:i/>
          <w:iCs/>
        </w:rPr>
        <w:t xml:space="preserve"> Community Health</w:t>
      </w:r>
      <w:r w:rsidRPr="001D013F">
        <w:t>. 2016;41(1):180</w:t>
      </w:r>
      <w:r>
        <w:t>–</w:t>
      </w:r>
      <w:r w:rsidRPr="001D013F">
        <w:t>196</w:t>
      </w:r>
    </w:p>
    <w:p w14:paraId="44744F8A" w14:textId="3A4551C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Naugler</w:t>
      </w:r>
      <w:proofErr w:type="spellEnd"/>
      <w:r w:rsidRPr="001D013F">
        <w:t xml:space="preserve"> MR, DiCarlo K. Barriers to and interventions that increase nurses’ and parents’ compliance with safe sleep recommendations for preterm infants. </w:t>
      </w:r>
      <w:proofErr w:type="spellStart"/>
      <w:r w:rsidRPr="00E25203">
        <w:rPr>
          <w:i/>
          <w:iCs/>
        </w:rPr>
        <w:t>Nurs</w:t>
      </w:r>
      <w:proofErr w:type="spellEnd"/>
      <w:r w:rsidRPr="00E25203">
        <w:rPr>
          <w:i/>
          <w:iCs/>
        </w:rPr>
        <w:t xml:space="preserve"> </w:t>
      </w:r>
      <w:proofErr w:type="spellStart"/>
      <w:r w:rsidRPr="00E25203">
        <w:rPr>
          <w:i/>
          <w:iCs/>
        </w:rPr>
        <w:t>Womens</w:t>
      </w:r>
      <w:proofErr w:type="spellEnd"/>
      <w:r w:rsidRPr="00E25203">
        <w:rPr>
          <w:i/>
          <w:iCs/>
        </w:rPr>
        <w:t xml:space="preserve"> Health</w:t>
      </w:r>
      <w:r w:rsidRPr="001D013F">
        <w:t>. 2018;22(1):24</w:t>
      </w:r>
      <w:r>
        <w:t>-</w:t>
      </w:r>
      <w:r w:rsidRPr="001D013F">
        <w:t>39</w:t>
      </w:r>
    </w:p>
    <w:p w14:paraId="3D1C2EAF" w14:textId="596F2D70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Moon RY, Task Force on Sudden Infant Death Syndrome. SIDS and other sleep-related infant deaths: Evidence base for 2016 updated recommendations for a safe infant sleeping environment. </w:t>
      </w:r>
      <w:r w:rsidRPr="00E25203">
        <w:rPr>
          <w:i/>
          <w:iCs/>
        </w:rPr>
        <w:t>Pediatrics</w:t>
      </w:r>
      <w:r w:rsidRPr="001D013F">
        <w:t>. 2016;138(5</w:t>
      </w:r>
      <w:proofErr w:type="gramStart"/>
      <w:r>
        <w:t>):e</w:t>
      </w:r>
      <w:proofErr w:type="gramEnd"/>
      <w:r>
        <w:t>20162940</w:t>
      </w:r>
    </w:p>
    <w:p w14:paraId="7D37C956" w14:textId="33EC2A0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Mathews AA, Joyner BL, Oden RP, Alamo I, Moon RY. Comparison of infant sleep practices in </w:t>
      </w:r>
      <w:proofErr w:type="gramStart"/>
      <w:r w:rsidRPr="001D013F">
        <w:t>African-American</w:t>
      </w:r>
      <w:proofErr w:type="gramEnd"/>
      <w:r w:rsidRPr="001D013F">
        <w:t xml:space="preserve"> and US Hispanic families: </w:t>
      </w:r>
      <w:r>
        <w:t>i</w:t>
      </w:r>
      <w:r w:rsidRPr="001D013F">
        <w:t xml:space="preserve">mplications for sleep-related infant death. </w:t>
      </w:r>
      <w:r w:rsidRPr="00E25203">
        <w:rPr>
          <w:i/>
          <w:iCs/>
        </w:rPr>
        <w:t xml:space="preserve">J </w:t>
      </w:r>
      <w:proofErr w:type="spellStart"/>
      <w:r w:rsidRPr="00E25203">
        <w:rPr>
          <w:i/>
          <w:iCs/>
        </w:rPr>
        <w:t>Immigr</w:t>
      </w:r>
      <w:proofErr w:type="spellEnd"/>
      <w:r w:rsidRPr="00E25203">
        <w:rPr>
          <w:i/>
          <w:iCs/>
        </w:rPr>
        <w:t xml:space="preserve"> Minor Health</w:t>
      </w:r>
      <w:r w:rsidRPr="001D013F">
        <w:t>. 2015;17(3):834</w:t>
      </w:r>
      <w:r>
        <w:t>–</w:t>
      </w:r>
      <w:r w:rsidRPr="001D013F">
        <w:t>842</w:t>
      </w:r>
    </w:p>
    <w:p w14:paraId="6033D94F" w14:textId="1226CAF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Leong T, </w:t>
      </w:r>
      <w:proofErr w:type="spellStart"/>
      <w:r w:rsidRPr="001D013F">
        <w:t>Billaud</w:t>
      </w:r>
      <w:proofErr w:type="spellEnd"/>
      <w:r w:rsidRPr="001D013F">
        <w:t xml:space="preserve"> M, Agarwal M, et al. As easy as ABC: evaluation of safe sleep initiative on safe sleep compliance in a freestanding pediatric hospital. </w:t>
      </w:r>
      <w:proofErr w:type="spellStart"/>
      <w:r w:rsidRPr="00E25203">
        <w:rPr>
          <w:i/>
          <w:iCs/>
        </w:rPr>
        <w:t>Inj</w:t>
      </w:r>
      <w:proofErr w:type="spellEnd"/>
      <w:r w:rsidRPr="00E25203">
        <w:rPr>
          <w:i/>
          <w:iCs/>
        </w:rPr>
        <w:t xml:space="preserve"> Epidemiol</w:t>
      </w:r>
      <w:r w:rsidRPr="001D013F">
        <w:t>. 2019;6(Suppl 1)</w:t>
      </w:r>
      <w:r>
        <w:t>:26</w:t>
      </w:r>
    </w:p>
    <w:p w14:paraId="40248949" w14:textId="7C7D5BAA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Hwang SS, Smith RA, Barfield WD, Smith VC, McCormick MC, Williams MA. Supine sleep positioning in preterm and term infants after hospital discharge from 2000 to 2011. </w:t>
      </w:r>
      <w:r w:rsidRPr="00E25203">
        <w:rPr>
          <w:i/>
          <w:iCs/>
        </w:rPr>
        <w:t xml:space="preserve">J </w:t>
      </w:r>
      <w:proofErr w:type="spellStart"/>
      <w:r w:rsidRPr="00E25203">
        <w:rPr>
          <w:i/>
          <w:iCs/>
        </w:rPr>
        <w:t>Perinatol</w:t>
      </w:r>
      <w:proofErr w:type="spellEnd"/>
      <w:r w:rsidRPr="001D013F">
        <w:t>. 2016;36(9):787</w:t>
      </w:r>
      <w:r>
        <w:t>–</w:t>
      </w:r>
      <w:r w:rsidRPr="001D013F">
        <w:t>793</w:t>
      </w:r>
    </w:p>
    <w:p w14:paraId="54B38A56" w14:textId="3B658A5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Hirai AH, </w:t>
      </w:r>
      <w:proofErr w:type="spellStart"/>
      <w:r w:rsidRPr="001D013F">
        <w:t>Kortsmit</w:t>
      </w:r>
      <w:proofErr w:type="spellEnd"/>
      <w:r w:rsidRPr="001D013F">
        <w:t xml:space="preserve"> K, Kaplan L, et al. Prevalence and factors associated with safe infant sleep practices. </w:t>
      </w:r>
      <w:r w:rsidRPr="00E25203">
        <w:rPr>
          <w:i/>
          <w:iCs/>
        </w:rPr>
        <w:t>Pediatrics</w:t>
      </w:r>
      <w:r w:rsidRPr="001D013F">
        <w:t>. 2019;144(5</w:t>
      </w:r>
      <w:proofErr w:type="gramStart"/>
      <w:r>
        <w:t>):e</w:t>
      </w:r>
      <w:proofErr w:type="gramEnd"/>
      <w:r>
        <w:t>20191286</w:t>
      </w:r>
    </w:p>
    <w:p w14:paraId="06CEF6C3" w14:textId="31B3166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Gelfer</w:t>
      </w:r>
      <w:proofErr w:type="spellEnd"/>
      <w:r w:rsidRPr="001D013F">
        <w:t xml:space="preserve"> P, Cameron R, Masters K, Kennedy KA. Integrating “Back to Sleep” recommendations into neonatal ICU practice. </w:t>
      </w:r>
      <w:r w:rsidRPr="00E25203">
        <w:rPr>
          <w:i/>
          <w:iCs/>
        </w:rPr>
        <w:t>Pediatrics</w:t>
      </w:r>
      <w:r w:rsidRPr="001D013F">
        <w:t>. 2013;131(4</w:t>
      </w:r>
      <w:r>
        <w:t>). Available at: www.pediatrics.org/cgi/content/full/131/4/e1264</w:t>
      </w:r>
    </w:p>
    <w:p w14:paraId="4CDD516F" w14:textId="3837B29A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Bombard JM. Vital Signs: Trends and disparities in infant safe sleep practices — United States, 2009–2015. </w:t>
      </w:r>
      <w:r w:rsidRPr="00E25203">
        <w:rPr>
          <w:i/>
          <w:iCs/>
        </w:rPr>
        <w:t xml:space="preserve">MMWR </w:t>
      </w:r>
      <w:proofErr w:type="spellStart"/>
      <w:r w:rsidRPr="00E25203">
        <w:rPr>
          <w:i/>
          <w:iCs/>
        </w:rPr>
        <w:t>Morb</w:t>
      </w:r>
      <w:proofErr w:type="spellEnd"/>
      <w:r w:rsidRPr="00E25203">
        <w:rPr>
          <w:i/>
          <w:iCs/>
        </w:rPr>
        <w:t xml:space="preserve"> Mortal </w:t>
      </w:r>
      <w:proofErr w:type="spellStart"/>
      <w:r w:rsidRPr="00E25203">
        <w:rPr>
          <w:i/>
          <w:iCs/>
        </w:rPr>
        <w:t>Wkly</w:t>
      </w:r>
      <w:proofErr w:type="spellEnd"/>
      <w:r w:rsidRPr="00E25203">
        <w:rPr>
          <w:i/>
          <w:iCs/>
        </w:rPr>
        <w:t xml:space="preserve"> Rep</w:t>
      </w:r>
      <w:r w:rsidRPr="001D013F">
        <w:t>. 2018;67</w:t>
      </w:r>
      <w:r>
        <w:t>(1):39–46</w:t>
      </w:r>
    </w:p>
    <w:p w14:paraId="6189EACF" w14:textId="1B7DD83C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Peluso AM, Harnish BA, Miller NS, Cooper ER, </w:t>
      </w:r>
      <w:proofErr w:type="spellStart"/>
      <w:r w:rsidRPr="001D013F">
        <w:t>Fujii</w:t>
      </w:r>
      <w:proofErr w:type="spellEnd"/>
      <w:r w:rsidRPr="001D013F">
        <w:t xml:space="preserve"> AM. Effect of young sibling visitation on respiratory syncytial virus activity in a NICU. </w:t>
      </w:r>
      <w:r w:rsidRPr="00E25203">
        <w:rPr>
          <w:i/>
          <w:iCs/>
        </w:rPr>
        <w:t xml:space="preserve">J </w:t>
      </w:r>
      <w:proofErr w:type="spellStart"/>
      <w:r w:rsidRPr="00E25203">
        <w:rPr>
          <w:i/>
          <w:iCs/>
        </w:rPr>
        <w:t>Perinatol</w:t>
      </w:r>
      <w:proofErr w:type="spellEnd"/>
      <w:r w:rsidRPr="001D013F">
        <w:t>. 2015;35(8):627</w:t>
      </w:r>
      <w:r>
        <w:t>–</w:t>
      </w:r>
      <w:r w:rsidRPr="001D013F">
        <w:t>630</w:t>
      </w:r>
    </w:p>
    <w:p w14:paraId="0301FF17" w14:textId="4BC6A47E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Horikoshi</w:t>
      </w:r>
      <w:proofErr w:type="spellEnd"/>
      <w:r w:rsidRPr="001D013F">
        <w:t xml:space="preserve"> Y, Okazaki K, </w:t>
      </w:r>
      <w:proofErr w:type="spellStart"/>
      <w:r w:rsidRPr="001D013F">
        <w:t>Miyokawa</w:t>
      </w:r>
      <w:proofErr w:type="spellEnd"/>
      <w:r w:rsidRPr="001D013F">
        <w:t xml:space="preserve"> S, et al. Sibling visits and viral infection in the neonatal intensive care unit. </w:t>
      </w:r>
      <w:proofErr w:type="spellStart"/>
      <w:r w:rsidRPr="00E25203">
        <w:rPr>
          <w:i/>
          <w:iCs/>
        </w:rPr>
        <w:t>Pediatr</w:t>
      </w:r>
      <w:proofErr w:type="spellEnd"/>
      <w:r w:rsidRPr="00E25203">
        <w:rPr>
          <w:i/>
          <w:iCs/>
        </w:rPr>
        <w:t xml:space="preserve"> Int (Roma)</w:t>
      </w:r>
      <w:r w:rsidRPr="001D013F">
        <w:t>. 2018;60(2):153</w:t>
      </w:r>
      <w:r>
        <w:t>–</w:t>
      </w:r>
      <w:r w:rsidRPr="001D013F">
        <w:t>156</w:t>
      </w:r>
    </w:p>
    <w:p w14:paraId="7EA3BA71" w14:textId="34152BD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O’Brien K, Robson K, Bracht M, </w:t>
      </w:r>
      <w:proofErr w:type="gramStart"/>
      <w:r w:rsidRPr="001D013F">
        <w:t>et al.</w:t>
      </w:r>
      <w:r>
        <w:t>;</w:t>
      </w:r>
      <w:proofErr w:type="spellStart"/>
      <w:r>
        <w:t>FICare</w:t>
      </w:r>
      <w:proofErr w:type="spellEnd"/>
      <w:proofErr w:type="gramEnd"/>
      <w:r>
        <w:t xml:space="preserve"> Study Group and </w:t>
      </w:r>
      <w:proofErr w:type="spellStart"/>
      <w:r>
        <w:t>FICare</w:t>
      </w:r>
      <w:proofErr w:type="spellEnd"/>
      <w:r>
        <w:t xml:space="preserve"> Parent Advisory Board.</w:t>
      </w:r>
      <w:r w:rsidRPr="001D013F">
        <w:t xml:space="preserve"> Effectiveness of Family Integrated Care in neonatal intensive care units on infant and parent outcomes: a </w:t>
      </w:r>
      <w:proofErr w:type="spellStart"/>
      <w:r w:rsidRPr="001D013F">
        <w:t>multicentre</w:t>
      </w:r>
      <w:proofErr w:type="spellEnd"/>
      <w:r w:rsidRPr="001D013F">
        <w:t>, multinational, cluster-</w:t>
      </w:r>
      <w:proofErr w:type="spellStart"/>
      <w:r w:rsidRPr="001D013F">
        <w:t>randomised</w:t>
      </w:r>
      <w:proofErr w:type="spellEnd"/>
      <w:r w:rsidRPr="001D013F">
        <w:t xml:space="preserve"> controlled trial.</w:t>
      </w:r>
      <w:r>
        <w:t xml:space="preserve"> [published correction appears in </w:t>
      </w:r>
      <w:r>
        <w:rPr>
          <w:i/>
          <w:iCs/>
        </w:rPr>
        <w:t xml:space="preserve">Lancet Child </w:t>
      </w:r>
      <w:proofErr w:type="spellStart"/>
      <w:r>
        <w:rPr>
          <w:i/>
          <w:iCs/>
        </w:rPr>
        <w:t>Adolesc</w:t>
      </w:r>
      <w:proofErr w:type="spellEnd"/>
      <w:r>
        <w:rPr>
          <w:i/>
          <w:iCs/>
        </w:rPr>
        <w:t xml:space="preserve"> Health</w:t>
      </w:r>
      <w:r>
        <w:t>. 2018;2(8</w:t>
      </w:r>
      <w:proofErr w:type="gramStart"/>
      <w:r>
        <w:t>):e</w:t>
      </w:r>
      <w:proofErr w:type="gramEnd"/>
      <w:r>
        <w:t>20].</w:t>
      </w:r>
      <w:r w:rsidRPr="001D013F">
        <w:t xml:space="preserve"> </w:t>
      </w:r>
      <w:r w:rsidRPr="00E25203">
        <w:rPr>
          <w:i/>
          <w:iCs/>
        </w:rPr>
        <w:t xml:space="preserve">Lancet Child </w:t>
      </w:r>
      <w:proofErr w:type="spellStart"/>
      <w:r w:rsidRPr="00E25203">
        <w:rPr>
          <w:i/>
          <w:iCs/>
        </w:rPr>
        <w:t>Adolesc</w:t>
      </w:r>
      <w:proofErr w:type="spellEnd"/>
      <w:r w:rsidRPr="00E25203">
        <w:rPr>
          <w:i/>
          <w:iCs/>
        </w:rPr>
        <w:t xml:space="preserve"> Health</w:t>
      </w:r>
      <w:r w:rsidRPr="001D013F">
        <w:t>. 2018;2(4):245</w:t>
      </w:r>
      <w:r>
        <w:t>–</w:t>
      </w:r>
      <w:r w:rsidRPr="001D013F">
        <w:t>254</w:t>
      </w:r>
    </w:p>
    <w:p w14:paraId="6A347DE2" w14:textId="72252A3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Franck LS, O’Brien K. The evolution of family-centered care: From supporting parent-delivered interventions to a model of family integrated care. </w:t>
      </w:r>
      <w:r w:rsidRPr="00E25203">
        <w:rPr>
          <w:i/>
          <w:iCs/>
        </w:rPr>
        <w:t>Birth Defects Res</w:t>
      </w:r>
      <w:r w:rsidRPr="001D013F">
        <w:t>. 2019;111(15):1044</w:t>
      </w:r>
      <w:r>
        <w:t>–</w:t>
      </w:r>
      <w:r w:rsidRPr="001D013F">
        <w:t>1059</w:t>
      </w:r>
    </w:p>
    <w:p w14:paraId="7ACE292E" w14:textId="5A9EAD3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Cheng C, Franck LS, Ye XY, Hutchinson SA, Lee SK, O’Brien K. Evaluating the effect of Family Integrated Care on maternal stress and anxiety in neonatal intensive care units</w:t>
      </w:r>
      <w:r>
        <w:t xml:space="preserve"> [published online ahead of print September 10, 2019]</w:t>
      </w:r>
      <w:r w:rsidRPr="00E25203">
        <w:rPr>
          <w:i/>
          <w:iCs/>
        </w:rPr>
        <w:t xml:space="preserve">. J </w:t>
      </w:r>
      <w:proofErr w:type="spellStart"/>
      <w:r w:rsidRPr="00E25203">
        <w:rPr>
          <w:i/>
          <w:iCs/>
        </w:rPr>
        <w:t>Reprod</w:t>
      </w:r>
      <w:proofErr w:type="spellEnd"/>
      <w:r w:rsidRPr="00E25203">
        <w:rPr>
          <w:i/>
          <w:iCs/>
        </w:rPr>
        <w:t xml:space="preserve"> Infant Psychol</w:t>
      </w:r>
      <w:r w:rsidRPr="001D013F">
        <w:t>. doi:10.1080/02646838.2019.1659940</w:t>
      </w:r>
    </w:p>
    <w:p w14:paraId="520EC0FF" w14:textId="6D19B624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Sanders MR, Hall SL. Trauma-informed care in the newborn intensive care unit: promoting safety, </w:t>
      </w:r>
      <w:proofErr w:type="gramStart"/>
      <w:r w:rsidRPr="001D013F">
        <w:t>security</w:t>
      </w:r>
      <w:proofErr w:type="gramEnd"/>
      <w:r w:rsidRPr="001D013F">
        <w:t xml:space="preserve"> and connectedness. </w:t>
      </w:r>
      <w:r w:rsidRPr="00D708DD">
        <w:rPr>
          <w:i/>
          <w:iCs/>
        </w:rPr>
        <w:t xml:space="preserve">J </w:t>
      </w:r>
      <w:proofErr w:type="spellStart"/>
      <w:r w:rsidRPr="00D708DD">
        <w:rPr>
          <w:i/>
          <w:iCs/>
        </w:rPr>
        <w:t>Perinatol</w:t>
      </w:r>
      <w:proofErr w:type="spellEnd"/>
      <w:r w:rsidRPr="001D013F">
        <w:t>. 2018;38(1):3</w:t>
      </w:r>
      <w:r>
        <w:t>–</w:t>
      </w:r>
      <w:r w:rsidRPr="001D013F">
        <w:t>10</w:t>
      </w:r>
    </w:p>
    <w:p w14:paraId="1B0ED712" w14:textId="4234497D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Marcellus L. Supporting women with substance use issues: trauma-informed care as a foundation for practice in the NICU. </w:t>
      </w:r>
      <w:r w:rsidRPr="00D708DD">
        <w:rPr>
          <w:i/>
          <w:iCs/>
        </w:rPr>
        <w:t xml:space="preserve">Neonatal </w:t>
      </w:r>
      <w:proofErr w:type="spellStart"/>
      <w:r w:rsidRPr="00D708DD">
        <w:rPr>
          <w:i/>
          <w:iCs/>
        </w:rPr>
        <w:t>Netw</w:t>
      </w:r>
      <w:proofErr w:type="spellEnd"/>
      <w:r w:rsidRPr="001D013F">
        <w:t>. 2014;33(6):307</w:t>
      </w:r>
      <w:r>
        <w:t>–</w:t>
      </w:r>
      <w:r w:rsidRPr="001D013F">
        <w:t>314</w:t>
      </w:r>
    </w:p>
    <w:p w14:paraId="235D9E9D" w14:textId="3361B5C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Thomson G, Balaam M-C. International insights into peer support in a neonatal context: </w:t>
      </w:r>
      <w:r>
        <w:t>a</w:t>
      </w:r>
      <w:r w:rsidRPr="001D013F">
        <w:t xml:space="preserve"> mixed-methods study. </w:t>
      </w:r>
      <w:proofErr w:type="spellStart"/>
      <w:r w:rsidRPr="00D708DD">
        <w:rPr>
          <w:i/>
          <w:iCs/>
        </w:rPr>
        <w:t>PLoS</w:t>
      </w:r>
      <w:proofErr w:type="spellEnd"/>
      <w:r w:rsidRPr="00D708DD">
        <w:rPr>
          <w:i/>
          <w:iCs/>
        </w:rPr>
        <w:t xml:space="preserve"> ONE</w:t>
      </w:r>
      <w:r w:rsidRPr="001D013F">
        <w:t>. 2019;14(7</w:t>
      </w:r>
      <w:proofErr w:type="gramStart"/>
      <w:r>
        <w:t>):e</w:t>
      </w:r>
      <w:proofErr w:type="gramEnd"/>
      <w:r>
        <w:t>0219743</w:t>
      </w:r>
    </w:p>
    <w:p w14:paraId="599AB50A" w14:textId="7D736C3B" w:rsidR="006467C8" w:rsidRPr="001D013F" w:rsidRDefault="00DC6F42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>R</w:t>
      </w:r>
      <w:r w:rsidR="006467C8" w:rsidRPr="001D013F">
        <w:t>ossman B, Greene MM, Meier PP. The role of peer support in the development of maternal identity for “NICU Moms”</w:t>
      </w:r>
      <w:r w:rsidR="006467C8">
        <w:t>.</w:t>
      </w:r>
      <w:r w:rsidR="006467C8" w:rsidRPr="001D013F">
        <w:t xml:space="preserve"> </w:t>
      </w:r>
      <w:r w:rsidR="006467C8" w:rsidRPr="00D708DD">
        <w:rPr>
          <w:i/>
          <w:iCs/>
        </w:rPr>
        <w:t xml:space="preserve">J </w:t>
      </w:r>
      <w:proofErr w:type="spellStart"/>
      <w:r w:rsidR="006467C8" w:rsidRPr="00D708DD">
        <w:rPr>
          <w:i/>
          <w:iCs/>
        </w:rPr>
        <w:t>Obstet</w:t>
      </w:r>
      <w:proofErr w:type="spellEnd"/>
      <w:r w:rsidR="006467C8" w:rsidRPr="00D708DD">
        <w:rPr>
          <w:i/>
          <w:iCs/>
        </w:rPr>
        <w:t xml:space="preserve"> </w:t>
      </w:r>
      <w:proofErr w:type="spellStart"/>
      <w:r w:rsidR="006467C8" w:rsidRPr="00D708DD">
        <w:rPr>
          <w:i/>
          <w:iCs/>
        </w:rPr>
        <w:t>Gynecol</w:t>
      </w:r>
      <w:proofErr w:type="spellEnd"/>
      <w:r w:rsidR="006467C8" w:rsidRPr="00D708DD">
        <w:rPr>
          <w:i/>
          <w:iCs/>
        </w:rPr>
        <w:t xml:space="preserve"> Neonatal </w:t>
      </w:r>
      <w:proofErr w:type="spellStart"/>
      <w:r w:rsidR="006467C8" w:rsidRPr="00D708DD">
        <w:rPr>
          <w:i/>
          <w:iCs/>
        </w:rPr>
        <w:t>Nurs</w:t>
      </w:r>
      <w:proofErr w:type="spellEnd"/>
      <w:r w:rsidR="006467C8" w:rsidRPr="001D013F">
        <w:t>. 2015;44(1):3</w:t>
      </w:r>
      <w:r w:rsidR="006467C8">
        <w:t>–</w:t>
      </w:r>
      <w:r w:rsidR="006467C8" w:rsidRPr="001D013F">
        <w:t>16</w:t>
      </w:r>
    </w:p>
    <w:p w14:paraId="1F202FD4" w14:textId="213B3F7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Rossman B, Engstrom JL, Meier PP. Healthcare providers’ perceptions of breastfeeding peer counselors in the neonatal intensive care unit. </w:t>
      </w:r>
      <w:r w:rsidRPr="00D708DD">
        <w:rPr>
          <w:i/>
          <w:iCs/>
        </w:rPr>
        <w:t xml:space="preserve">Res </w:t>
      </w:r>
      <w:proofErr w:type="spellStart"/>
      <w:r w:rsidRPr="00D708DD">
        <w:rPr>
          <w:i/>
          <w:iCs/>
        </w:rPr>
        <w:t>Nurs</w:t>
      </w:r>
      <w:proofErr w:type="spellEnd"/>
      <w:r w:rsidRPr="00D708DD">
        <w:rPr>
          <w:i/>
          <w:iCs/>
        </w:rPr>
        <w:t xml:space="preserve"> Health</w:t>
      </w:r>
      <w:r w:rsidRPr="001D013F">
        <w:t>. 2012;35(5):460</w:t>
      </w:r>
      <w:r>
        <w:t>–</w:t>
      </w:r>
      <w:r w:rsidRPr="001D013F">
        <w:t>474</w:t>
      </w:r>
    </w:p>
    <w:p w14:paraId="30D7A0C6" w14:textId="4992E25E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Rossman B, Engstrom JL, Meier PP, </w:t>
      </w:r>
      <w:proofErr w:type="spellStart"/>
      <w:r w:rsidRPr="001D013F">
        <w:t>Vonderheid</w:t>
      </w:r>
      <w:proofErr w:type="spellEnd"/>
      <w:r w:rsidRPr="001D013F">
        <w:t xml:space="preserve"> SC, </w:t>
      </w:r>
      <w:proofErr w:type="spellStart"/>
      <w:r w:rsidRPr="001D013F">
        <w:t>Norr</w:t>
      </w:r>
      <w:proofErr w:type="spellEnd"/>
      <w:r w:rsidRPr="001D013F">
        <w:t xml:space="preserve"> KF, Hill PD. “They’ve walked in my shoes”: mothers of very low birth weight infants and their experiences with breastfeeding peer counselors in the neonatal intensive care unit. </w:t>
      </w:r>
      <w:r w:rsidRPr="00D708DD">
        <w:rPr>
          <w:i/>
          <w:iCs/>
        </w:rPr>
        <w:t xml:space="preserve">J Hum </w:t>
      </w:r>
      <w:proofErr w:type="spellStart"/>
      <w:r w:rsidRPr="00D708DD">
        <w:rPr>
          <w:i/>
          <w:iCs/>
        </w:rPr>
        <w:t>Lact</w:t>
      </w:r>
      <w:proofErr w:type="spellEnd"/>
      <w:r w:rsidRPr="001D013F">
        <w:t>. 2011;27(1):14</w:t>
      </w:r>
      <w:r>
        <w:t>–</w:t>
      </w:r>
      <w:r w:rsidRPr="001D013F">
        <w:t>24</w:t>
      </w:r>
    </w:p>
    <w:p w14:paraId="5B3F8DB7" w14:textId="627371DB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Parker MG, Greenberg LT, Edwards EM, Ehret D, Belfort MB, Horbar JD. National trends in the provision of human milk at hospital discharge among very low-birth-weight infants. </w:t>
      </w:r>
      <w:r w:rsidRPr="00D708DD">
        <w:rPr>
          <w:i/>
          <w:iCs/>
        </w:rPr>
        <w:t xml:space="preserve">JAMA </w:t>
      </w:r>
      <w:proofErr w:type="spellStart"/>
      <w:r w:rsidRPr="00D708DD">
        <w:rPr>
          <w:i/>
          <w:iCs/>
        </w:rPr>
        <w:t>Pediatr</w:t>
      </w:r>
      <w:proofErr w:type="spellEnd"/>
      <w:r w:rsidRPr="001D013F">
        <w:t>. 2019;173(10):961</w:t>
      </w:r>
      <w:r>
        <w:t>–</w:t>
      </w:r>
      <w:r w:rsidRPr="001D013F">
        <w:t>968</w:t>
      </w:r>
    </w:p>
    <w:p w14:paraId="302C91C1" w14:textId="621DBEF7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Oza</w:t>
      </w:r>
      <w:proofErr w:type="spellEnd"/>
      <w:r w:rsidRPr="001D013F">
        <w:t xml:space="preserve">-Frank R, Bhatia A, Smith C. Impact of peer counselors on breastfeeding outcomes in a </w:t>
      </w:r>
      <w:proofErr w:type="spellStart"/>
      <w:r w:rsidRPr="001D013F">
        <w:t>nondelivery</w:t>
      </w:r>
      <w:proofErr w:type="spellEnd"/>
      <w:r w:rsidRPr="001D013F">
        <w:t xml:space="preserve"> NICU setting. </w:t>
      </w:r>
      <w:r w:rsidRPr="00D708DD">
        <w:rPr>
          <w:i/>
          <w:iCs/>
        </w:rPr>
        <w:t>Adv Neonatal Care</w:t>
      </w:r>
      <w:r w:rsidRPr="001D013F">
        <w:t>. 2014;14(4</w:t>
      </w:r>
      <w:proofErr w:type="gramStart"/>
      <w:r w:rsidRPr="001D013F">
        <w:t>):E</w:t>
      </w:r>
      <w:proofErr w:type="gramEnd"/>
      <w:r w:rsidRPr="001D013F">
        <w:t>1</w:t>
      </w:r>
      <w:r>
        <w:t>–E</w:t>
      </w:r>
      <w:r w:rsidRPr="001D013F">
        <w:t>8</w:t>
      </w:r>
    </w:p>
    <w:p w14:paraId="38E05EA6" w14:textId="5E23FC8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Merewood</w:t>
      </w:r>
      <w:proofErr w:type="spellEnd"/>
      <w:r w:rsidRPr="001D013F">
        <w:t xml:space="preserve"> A, Chamberlain LB, Cook JT, Philipp BL, Malone K, </w:t>
      </w:r>
      <w:proofErr w:type="spellStart"/>
      <w:r w:rsidRPr="001D013F">
        <w:t>Bauchner</w:t>
      </w:r>
      <w:proofErr w:type="spellEnd"/>
      <w:r w:rsidRPr="001D013F">
        <w:t xml:space="preserve"> H. The effect of peer counselors on breastfeeding rates in the neonatal intensive care unit: results of a randomized controlled trial. </w:t>
      </w:r>
      <w:r w:rsidRPr="00D708DD">
        <w:rPr>
          <w:i/>
          <w:iCs/>
        </w:rPr>
        <w:t xml:space="preserve">Arch </w:t>
      </w:r>
      <w:proofErr w:type="spellStart"/>
      <w:r w:rsidRPr="00D708DD">
        <w:rPr>
          <w:i/>
          <w:iCs/>
        </w:rPr>
        <w:t>Pediatr</w:t>
      </w:r>
      <w:proofErr w:type="spellEnd"/>
      <w:r w:rsidRPr="00D708DD">
        <w:rPr>
          <w:i/>
          <w:iCs/>
        </w:rPr>
        <w:t xml:space="preserve"> </w:t>
      </w:r>
      <w:proofErr w:type="spellStart"/>
      <w:r w:rsidRPr="00D708DD">
        <w:rPr>
          <w:i/>
          <w:iCs/>
        </w:rPr>
        <w:t>Adolesc</w:t>
      </w:r>
      <w:proofErr w:type="spellEnd"/>
      <w:r w:rsidRPr="00D708DD">
        <w:rPr>
          <w:i/>
          <w:iCs/>
        </w:rPr>
        <w:t xml:space="preserve"> Med</w:t>
      </w:r>
      <w:r w:rsidRPr="001D013F">
        <w:t>. 2006;160(7):681</w:t>
      </w:r>
      <w:r>
        <w:t>–</w:t>
      </w:r>
      <w:r w:rsidRPr="001D013F">
        <w:t>685</w:t>
      </w:r>
    </w:p>
    <w:p w14:paraId="129BCF5D" w14:textId="612ACB53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Meier PP, Patel AL, Bigger HR, Rossman B, Engstrom JL. Supporting breastfeeding in the neonatal intensive care unit: Rush Mother’s Milk Club as a case study of evidence-based care. </w:t>
      </w:r>
      <w:proofErr w:type="spellStart"/>
      <w:r w:rsidRPr="00D708DD">
        <w:rPr>
          <w:i/>
          <w:iCs/>
        </w:rPr>
        <w:t>Pediatr</w:t>
      </w:r>
      <w:proofErr w:type="spellEnd"/>
      <w:r w:rsidRPr="00D708DD">
        <w:rPr>
          <w:i/>
          <w:iCs/>
        </w:rPr>
        <w:t xml:space="preserve"> Clin North Am</w:t>
      </w:r>
      <w:r w:rsidRPr="001D013F">
        <w:t>. 2013;60(1):209</w:t>
      </w:r>
      <w:r>
        <w:t>–</w:t>
      </w:r>
      <w:r w:rsidRPr="001D013F">
        <w:t>226</w:t>
      </w:r>
    </w:p>
    <w:p w14:paraId="7E6EDA14" w14:textId="4FD25EE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Meier PP, Engstrom JL, Rossman B. Breastfeeding peer counselors as direct lactation care providers in the neonatal intensive care unit. </w:t>
      </w:r>
      <w:r w:rsidRPr="00095D5A">
        <w:rPr>
          <w:i/>
          <w:iCs/>
        </w:rPr>
        <w:t xml:space="preserve">J Hum </w:t>
      </w:r>
      <w:proofErr w:type="spellStart"/>
      <w:r w:rsidRPr="00095D5A">
        <w:rPr>
          <w:i/>
          <w:iCs/>
        </w:rPr>
        <w:t>Lact</w:t>
      </w:r>
      <w:proofErr w:type="spellEnd"/>
      <w:r w:rsidRPr="001D013F">
        <w:t>. 2013;29(3):313</w:t>
      </w:r>
      <w:r>
        <w:t>–</w:t>
      </w:r>
      <w:r w:rsidRPr="001D013F">
        <w:t>322</w:t>
      </w:r>
    </w:p>
    <w:p w14:paraId="7DB1336A" w14:textId="0DE7E3FB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Hilditch C, Howes A, Dempster N, Keir A. What evidence-based strategies have been shown to improve breastfeeding rates in preterm infants? </w:t>
      </w:r>
      <w:r w:rsidRPr="00095D5A">
        <w:rPr>
          <w:i/>
          <w:iCs/>
        </w:rPr>
        <w:t xml:space="preserve">J </w:t>
      </w:r>
      <w:proofErr w:type="spellStart"/>
      <w:r w:rsidRPr="00095D5A">
        <w:rPr>
          <w:i/>
          <w:iCs/>
        </w:rPr>
        <w:t>Paediatr</w:t>
      </w:r>
      <w:proofErr w:type="spellEnd"/>
      <w:r w:rsidRPr="00095D5A">
        <w:rPr>
          <w:i/>
          <w:iCs/>
        </w:rPr>
        <w:t xml:space="preserve"> Child Health</w:t>
      </w:r>
      <w:r w:rsidRPr="001D013F">
        <w:t>. 2019;55(8):907</w:t>
      </w:r>
      <w:r>
        <w:t>–</w:t>
      </w:r>
      <w:r w:rsidRPr="001D013F">
        <w:t>914</w:t>
      </w:r>
    </w:p>
    <w:p w14:paraId="120E56FB" w14:textId="4EC36420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Hall SL, Ryan DJ, Beatty J, Grubbs L. Recommendations for peer-to-peer support for NICU parents. </w:t>
      </w:r>
      <w:r w:rsidRPr="00095D5A">
        <w:rPr>
          <w:i/>
          <w:iCs/>
        </w:rPr>
        <w:t xml:space="preserve">J </w:t>
      </w:r>
      <w:proofErr w:type="spellStart"/>
      <w:r w:rsidRPr="00095D5A">
        <w:rPr>
          <w:i/>
          <w:iCs/>
        </w:rPr>
        <w:t>Perinatol</w:t>
      </w:r>
      <w:proofErr w:type="spellEnd"/>
      <w:r w:rsidRPr="001D013F">
        <w:t>. 2015;35(</w:t>
      </w:r>
      <w:r>
        <w:t>s</w:t>
      </w:r>
      <w:r w:rsidRPr="001D013F">
        <w:t>uppl 1</w:t>
      </w:r>
      <w:proofErr w:type="gramStart"/>
      <w:r w:rsidRPr="001D013F">
        <w:t>):S</w:t>
      </w:r>
      <w:proofErr w:type="gramEnd"/>
      <w:r w:rsidRPr="001D013F">
        <w:t>9</w:t>
      </w:r>
      <w:r>
        <w:t>–</w:t>
      </w:r>
      <w:r w:rsidRPr="001D013F">
        <w:t>S13</w:t>
      </w:r>
    </w:p>
    <w:p w14:paraId="4B2B9D32" w14:textId="0A54BA4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Coker TR, Chacon S, Elliott MN, et al. A parent coach model for well-</w:t>
      </w:r>
      <w:proofErr w:type="gramStart"/>
      <w:r w:rsidRPr="001D013F">
        <w:t>child care</w:t>
      </w:r>
      <w:proofErr w:type="gramEnd"/>
      <w:r w:rsidRPr="001D013F">
        <w:t xml:space="preserve"> among low-income children: A randomized controlled trial. </w:t>
      </w:r>
      <w:r w:rsidRPr="00095D5A">
        <w:rPr>
          <w:i/>
          <w:iCs/>
        </w:rPr>
        <w:t>Pediatrics</w:t>
      </w:r>
      <w:r w:rsidRPr="001D013F">
        <w:t>. 2016;137(3</w:t>
      </w:r>
      <w:proofErr w:type="gramStart"/>
      <w:r w:rsidRPr="001D013F">
        <w:t>):e</w:t>
      </w:r>
      <w:proofErr w:type="gramEnd"/>
      <w:r w:rsidRPr="001D013F">
        <w:t>20153013</w:t>
      </w:r>
    </w:p>
    <w:p w14:paraId="633A61FA" w14:textId="77F866E3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Social Security Administration. </w:t>
      </w:r>
      <w:r w:rsidRPr="001D013F">
        <w:t xml:space="preserve">Benefits For </w:t>
      </w:r>
      <w:r>
        <w:t>c</w:t>
      </w:r>
      <w:r w:rsidRPr="001D013F">
        <w:t xml:space="preserve">hildren With </w:t>
      </w:r>
      <w:r>
        <w:t>d</w:t>
      </w:r>
      <w:r w:rsidRPr="001D013F">
        <w:t xml:space="preserve">isabilities. </w:t>
      </w:r>
      <w:r>
        <w:t xml:space="preserve">Available at: </w:t>
      </w:r>
      <w:hyperlink r:id="rId17" w:history="1">
        <w:r w:rsidRPr="00D85947">
          <w:rPr>
            <w:rStyle w:val="Hyperlink"/>
          </w:rPr>
          <w:t>https://www.ssa.gov/pubs/EN-05-10026.pdf</w:t>
        </w:r>
      </w:hyperlink>
      <w:r>
        <w:t xml:space="preserve">. </w:t>
      </w:r>
      <w:r w:rsidRPr="001D013F">
        <w:t>Accessed December 19, 2019</w:t>
      </w:r>
    </w:p>
    <w:p w14:paraId="51CD935A" w14:textId="0BAC4B72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Soneji S, </w:t>
      </w:r>
      <w:proofErr w:type="spellStart"/>
      <w:r w:rsidRPr="001D013F">
        <w:t>Beltrán</w:t>
      </w:r>
      <w:proofErr w:type="spellEnd"/>
      <w:r w:rsidRPr="001D013F">
        <w:t xml:space="preserve">-Sánchez H. Association of Special Supplemental Nutrition Program for </w:t>
      </w:r>
      <w:r>
        <w:t>W</w:t>
      </w:r>
      <w:r w:rsidRPr="001D013F">
        <w:t xml:space="preserve">omen, </w:t>
      </w:r>
      <w:r>
        <w:t>I</w:t>
      </w:r>
      <w:r w:rsidRPr="001D013F">
        <w:t xml:space="preserve">nfants, and </w:t>
      </w:r>
      <w:r>
        <w:t>C</w:t>
      </w:r>
      <w:r w:rsidRPr="001D013F">
        <w:t xml:space="preserve">hildren with preterm birth and infant mortality. </w:t>
      </w:r>
      <w:r w:rsidRPr="00095D5A">
        <w:rPr>
          <w:i/>
          <w:iCs/>
        </w:rPr>
        <w:t xml:space="preserve">JAMA </w:t>
      </w:r>
      <w:proofErr w:type="spellStart"/>
      <w:r w:rsidRPr="00095D5A">
        <w:rPr>
          <w:i/>
          <w:iCs/>
        </w:rPr>
        <w:t>Netw</w:t>
      </w:r>
      <w:proofErr w:type="spellEnd"/>
      <w:r w:rsidRPr="00095D5A">
        <w:rPr>
          <w:i/>
          <w:iCs/>
        </w:rPr>
        <w:t xml:space="preserve"> Open</w:t>
      </w:r>
      <w:r w:rsidRPr="001D013F">
        <w:t>. 2019;2(12</w:t>
      </w:r>
      <w:proofErr w:type="gramStart"/>
      <w:r w:rsidRPr="001D013F">
        <w:t>):e</w:t>
      </w:r>
      <w:proofErr w:type="gramEnd"/>
      <w:r w:rsidRPr="001D013F">
        <w:t>1916722</w:t>
      </w:r>
    </w:p>
    <w:p w14:paraId="569AD43D" w14:textId="53158D2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Hamad R, Collin DF, Baer RJ, </w:t>
      </w:r>
      <w:proofErr w:type="spellStart"/>
      <w:r w:rsidRPr="001D013F">
        <w:t>Jelliffe</w:t>
      </w:r>
      <w:proofErr w:type="spellEnd"/>
      <w:r w:rsidRPr="001D013F">
        <w:t xml:space="preserve">-Pawlowski LL. Association of revised WIC food package with perinatal and birth outcomes: </w:t>
      </w:r>
      <w:r>
        <w:t>a</w:t>
      </w:r>
      <w:r w:rsidRPr="001D013F">
        <w:t xml:space="preserve"> quasi-experimental study. </w:t>
      </w:r>
      <w:r w:rsidRPr="00095D5A">
        <w:rPr>
          <w:i/>
          <w:iCs/>
        </w:rPr>
        <w:t xml:space="preserve">JAMA </w:t>
      </w:r>
      <w:proofErr w:type="spellStart"/>
      <w:r w:rsidRPr="00095D5A">
        <w:rPr>
          <w:i/>
          <w:iCs/>
        </w:rPr>
        <w:t>Pediatr</w:t>
      </w:r>
      <w:proofErr w:type="spellEnd"/>
      <w:r w:rsidRPr="001D013F">
        <w:t>. 2019;173(9):845</w:t>
      </w:r>
      <w:r>
        <w:t>–</w:t>
      </w:r>
      <w:r w:rsidRPr="001D013F">
        <w:t>852</w:t>
      </w:r>
    </w:p>
    <w:p w14:paraId="0CCCFB42" w14:textId="57221ED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Centers for Disease Control and Prevention. What is “</w:t>
      </w:r>
      <w:r>
        <w:t>e</w:t>
      </w:r>
      <w:r w:rsidRPr="001D013F">
        <w:t xml:space="preserve">arly </w:t>
      </w:r>
      <w:r>
        <w:t>i</w:t>
      </w:r>
      <w:r w:rsidRPr="001D013F">
        <w:t xml:space="preserve">ntervention”? </w:t>
      </w:r>
      <w:r>
        <w:t xml:space="preserve">Available at: </w:t>
      </w:r>
      <w:hyperlink r:id="rId18" w:history="1">
        <w:r w:rsidRPr="00D85947">
          <w:rPr>
            <w:rStyle w:val="Hyperlink"/>
          </w:rPr>
          <w:t>https://www.cdc.gov/ncbddd/actearly/parents/states.html</w:t>
        </w:r>
      </w:hyperlink>
      <w:r>
        <w:t xml:space="preserve">. </w:t>
      </w:r>
      <w:r w:rsidRPr="001D013F">
        <w:t>Accessed January 28, 2020</w:t>
      </w:r>
    </w:p>
    <w:p w14:paraId="2ECFD750" w14:textId="35B487CB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Miquel-Verges F, Donohue PK, Boss RD. Discharge of infants from NICU to Latino families with limited English proficiency. </w:t>
      </w:r>
      <w:r w:rsidRPr="00095D5A">
        <w:rPr>
          <w:i/>
          <w:iCs/>
        </w:rPr>
        <w:t xml:space="preserve">J </w:t>
      </w:r>
      <w:proofErr w:type="spellStart"/>
      <w:r w:rsidRPr="00095D5A">
        <w:rPr>
          <w:i/>
          <w:iCs/>
        </w:rPr>
        <w:t>Immigr</w:t>
      </w:r>
      <w:proofErr w:type="spellEnd"/>
      <w:r w:rsidRPr="00095D5A">
        <w:rPr>
          <w:i/>
          <w:iCs/>
        </w:rPr>
        <w:t xml:space="preserve"> Minor Health</w:t>
      </w:r>
      <w:r w:rsidRPr="001D013F">
        <w:t>. 2011;13(2):309</w:t>
      </w:r>
      <w:r>
        <w:t>–</w:t>
      </w:r>
      <w:r w:rsidRPr="001D013F">
        <w:t>314</w:t>
      </w:r>
    </w:p>
    <w:p w14:paraId="7683E4B6" w14:textId="00EACF7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Enlow</w:t>
      </w:r>
      <w:proofErr w:type="spellEnd"/>
      <w:r w:rsidRPr="001D013F">
        <w:t xml:space="preserve"> E, Herbert SL, </w:t>
      </w:r>
      <w:proofErr w:type="spellStart"/>
      <w:r w:rsidRPr="001D013F">
        <w:t>Jovel</w:t>
      </w:r>
      <w:proofErr w:type="spellEnd"/>
      <w:r w:rsidRPr="001D013F">
        <w:t xml:space="preserve"> IJ, Lorch SA, Anderson C, Chamberlain LJ. Neonatal intensive care unit to home: the transition from parent and pediatrician perspectives, a prospective cohort study. </w:t>
      </w:r>
      <w:r w:rsidRPr="00095D5A">
        <w:rPr>
          <w:i/>
          <w:iCs/>
        </w:rPr>
        <w:t xml:space="preserve">J </w:t>
      </w:r>
      <w:proofErr w:type="spellStart"/>
      <w:r w:rsidRPr="00095D5A">
        <w:rPr>
          <w:i/>
          <w:iCs/>
        </w:rPr>
        <w:t>Perinatol</w:t>
      </w:r>
      <w:proofErr w:type="spellEnd"/>
      <w:r w:rsidRPr="001D013F">
        <w:t>. 2014;34(10):761</w:t>
      </w:r>
      <w:r>
        <w:t>–</w:t>
      </w:r>
      <w:r w:rsidRPr="001D013F">
        <w:t>766</w:t>
      </w:r>
    </w:p>
    <w:p w14:paraId="3CEA135A" w14:textId="125469C7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Dunn MS, Reilly MC, Johnston AM, Hoopes RD, Abraham MR. Development and dissemination of potentially better practices for the provision of family-centered care in neonatology: </w:t>
      </w:r>
      <w:r>
        <w:t>t</w:t>
      </w:r>
      <w:r w:rsidRPr="001D013F">
        <w:t xml:space="preserve">he family-centered care map. </w:t>
      </w:r>
      <w:r w:rsidRPr="00095D5A">
        <w:rPr>
          <w:i/>
          <w:iCs/>
        </w:rPr>
        <w:t>Pediatrics</w:t>
      </w:r>
      <w:r w:rsidRPr="001D013F">
        <w:t>. 2006;118(</w:t>
      </w:r>
      <w:r>
        <w:t>s</w:t>
      </w:r>
      <w:r w:rsidRPr="001D013F">
        <w:t>uppl 2</w:t>
      </w:r>
      <w:proofErr w:type="gramStart"/>
      <w:r w:rsidRPr="001D013F">
        <w:t>):S</w:t>
      </w:r>
      <w:proofErr w:type="gramEnd"/>
      <w:r w:rsidRPr="001D013F">
        <w:t>95</w:t>
      </w:r>
      <w:r>
        <w:t>–</w:t>
      </w:r>
      <w:r w:rsidRPr="001D013F">
        <w:t>S107</w:t>
      </w:r>
    </w:p>
    <w:p w14:paraId="7AF539A3" w14:textId="15068AF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DeCamp</w:t>
      </w:r>
      <w:proofErr w:type="spellEnd"/>
      <w:r w:rsidRPr="001D013F">
        <w:t xml:space="preserve"> LR, Choi H, Davis MM. Medical home disparities for Latino children by parental language of interview. </w:t>
      </w:r>
      <w:r w:rsidRPr="00095D5A">
        <w:rPr>
          <w:i/>
          <w:iCs/>
        </w:rPr>
        <w:t>J Health Care Poor Underserved</w:t>
      </w:r>
      <w:r w:rsidRPr="001D013F">
        <w:t>. 2011;22(4):1151</w:t>
      </w:r>
      <w:r>
        <w:t>–</w:t>
      </w:r>
      <w:r w:rsidRPr="001D013F">
        <w:t>1166</w:t>
      </w:r>
    </w:p>
    <w:p w14:paraId="2CB1092B" w14:textId="0E1B7BE8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Welch CD, Check J, O’Shea TM. Improving care collaboration for NICU patients to decrease length of stay and readmission rate. </w:t>
      </w:r>
      <w:r w:rsidRPr="00095D5A">
        <w:rPr>
          <w:i/>
          <w:iCs/>
        </w:rPr>
        <w:t>BMJ Open Qual</w:t>
      </w:r>
      <w:r w:rsidRPr="001D013F">
        <w:t>. 2017;6(2</w:t>
      </w:r>
      <w:proofErr w:type="gramStart"/>
      <w:r w:rsidRPr="001D013F">
        <w:t>):e</w:t>
      </w:r>
      <w:proofErr w:type="gramEnd"/>
      <w:r w:rsidRPr="001D013F">
        <w:t>000130</w:t>
      </w:r>
    </w:p>
    <w:p w14:paraId="1EB98047" w14:textId="43644BFE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Sims DC, Jacob J, Mills MM, Fett PA, Novak G. </w:t>
      </w:r>
      <w:proofErr w:type="gramStart"/>
      <w:r w:rsidRPr="001D013F">
        <w:t>Evaluation</w:t>
      </w:r>
      <w:proofErr w:type="gramEnd"/>
      <w:r w:rsidRPr="001D013F">
        <w:t xml:space="preserve"> and development of potentially better practices to improve the discharge process in the neonatal intensive care unit. </w:t>
      </w:r>
      <w:r w:rsidRPr="00095D5A">
        <w:rPr>
          <w:i/>
          <w:iCs/>
        </w:rPr>
        <w:t>Pediatrics</w:t>
      </w:r>
      <w:r w:rsidRPr="001D013F">
        <w:t>. 2006;118(</w:t>
      </w:r>
      <w:r>
        <w:t>s</w:t>
      </w:r>
      <w:r w:rsidRPr="001D013F">
        <w:t>uppl 2</w:t>
      </w:r>
      <w:proofErr w:type="gramStart"/>
      <w:r w:rsidRPr="001D013F">
        <w:t>):S</w:t>
      </w:r>
      <w:proofErr w:type="gramEnd"/>
      <w:r w:rsidRPr="001D013F">
        <w:t>115</w:t>
      </w:r>
      <w:r>
        <w:t>–</w:t>
      </w:r>
      <w:r w:rsidRPr="001D013F">
        <w:t>S123</w:t>
      </w:r>
    </w:p>
    <w:p w14:paraId="4D7AEC79" w14:textId="79CCFE5F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Mills MM, Sims DC, Jacob J. </w:t>
      </w:r>
      <w:proofErr w:type="gramStart"/>
      <w:r w:rsidRPr="001D013F">
        <w:t>Implementation</w:t>
      </w:r>
      <w:proofErr w:type="gramEnd"/>
      <w:r w:rsidRPr="001D013F">
        <w:t xml:space="preserve"> and case-study results of potentially better practices to improve the discharge process in the neonatal intensive care unit. </w:t>
      </w:r>
      <w:r w:rsidRPr="00095D5A">
        <w:rPr>
          <w:i/>
          <w:iCs/>
        </w:rPr>
        <w:t>Pediatrics</w:t>
      </w:r>
      <w:r w:rsidRPr="001D013F">
        <w:t xml:space="preserve">. 2006;118 </w:t>
      </w:r>
      <w:r>
        <w:t>(s</w:t>
      </w:r>
      <w:r w:rsidRPr="001D013F">
        <w:t>uppl 2</w:t>
      </w:r>
      <w:proofErr w:type="gramStart"/>
      <w:r>
        <w:t>)</w:t>
      </w:r>
      <w:r w:rsidRPr="001D013F">
        <w:t>:S</w:t>
      </w:r>
      <w:proofErr w:type="gramEnd"/>
      <w:r w:rsidRPr="001D013F">
        <w:t>124</w:t>
      </w:r>
      <w:r>
        <w:t>–</w:t>
      </w:r>
      <w:r w:rsidRPr="001D013F">
        <w:t>133</w:t>
      </w:r>
    </w:p>
    <w:p w14:paraId="7FCEBF23" w14:textId="3E3F5026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Enlow</w:t>
      </w:r>
      <w:proofErr w:type="spellEnd"/>
      <w:r w:rsidRPr="001D013F">
        <w:t xml:space="preserve"> E, Gray MM, Wallace-</w:t>
      </w:r>
      <w:proofErr w:type="spellStart"/>
      <w:r w:rsidRPr="001D013F">
        <w:t>Keeshen</w:t>
      </w:r>
      <w:proofErr w:type="spellEnd"/>
      <w:r w:rsidRPr="001D013F">
        <w:t xml:space="preserve"> S, D’Agostino JA, Abbasi S, Lorch SA. Health literacy of parents of very preterm infants at NICU admission and discharge: a prospective cohort study. </w:t>
      </w:r>
      <w:r w:rsidRPr="00095D5A">
        <w:rPr>
          <w:i/>
          <w:iCs/>
        </w:rPr>
        <w:t xml:space="preserve">J </w:t>
      </w:r>
      <w:proofErr w:type="spellStart"/>
      <w:r w:rsidRPr="00095D5A">
        <w:rPr>
          <w:i/>
          <w:iCs/>
        </w:rPr>
        <w:t>Perinatol</w:t>
      </w:r>
      <w:proofErr w:type="spellEnd"/>
      <w:r w:rsidRPr="001D013F">
        <w:t>. 2019;39(6):866</w:t>
      </w:r>
      <w:r>
        <w:t>–</w:t>
      </w:r>
      <w:r w:rsidRPr="001D013F">
        <w:t>875</w:t>
      </w:r>
    </w:p>
    <w:p w14:paraId="3987921C" w14:textId="2CD6AA5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Lakshmanan A, </w:t>
      </w:r>
      <w:proofErr w:type="spellStart"/>
      <w:r w:rsidRPr="001D013F">
        <w:t>Kubicek</w:t>
      </w:r>
      <w:proofErr w:type="spellEnd"/>
      <w:r w:rsidRPr="001D013F">
        <w:t xml:space="preserve"> K, Williams R, et al. Viewpoints from families for improving transition from NICU-to-home for infants with medical complexity at a safety net hospital: a qualitative study. </w:t>
      </w:r>
      <w:r w:rsidRPr="00095D5A">
        <w:rPr>
          <w:i/>
          <w:iCs/>
        </w:rPr>
        <w:t xml:space="preserve">BMC </w:t>
      </w:r>
      <w:proofErr w:type="spellStart"/>
      <w:r w:rsidRPr="00095D5A">
        <w:rPr>
          <w:i/>
          <w:iCs/>
        </w:rPr>
        <w:t>Pediatr</w:t>
      </w:r>
      <w:proofErr w:type="spellEnd"/>
      <w:r w:rsidRPr="001D013F">
        <w:t>. 2019;19(1):223</w:t>
      </w:r>
    </w:p>
    <w:p w14:paraId="5A0F0E1F" w14:textId="4C680B27" w:rsidR="00CA57F9" w:rsidRDefault="00CA57F9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>Kahn A, Yin HS, Brach C, et al. Association between parent</w:t>
      </w:r>
      <w:r w:rsidR="00B43988">
        <w:t xml:space="preserve"> </w:t>
      </w:r>
      <w:r>
        <w:t>comfort with English and adverse events among hospitalized children</w:t>
      </w:r>
      <w:r w:rsidR="00B43988">
        <w:t xml:space="preserve"> published online ahead of print October 19, 2020]</w:t>
      </w:r>
      <w:r>
        <w:t xml:space="preserve">. </w:t>
      </w:r>
      <w:r>
        <w:rPr>
          <w:i/>
          <w:iCs/>
        </w:rPr>
        <w:t xml:space="preserve">JAMA </w:t>
      </w:r>
      <w:proofErr w:type="spellStart"/>
      <w:r>
        <w:rPr>
          <w:i/>
          <w:iCs/>
        </w:rPr>
        <w:t>Pediatr</w:t>
      </w:r>
      <w:proofErr w:type="spellEnd"/>
      <w:r>
        <w:t>.</w:t>
      </w:r>
      <w:r w:rsidR="00B43988">
        <w:t xml:space="preserve"> </w:t>
      </w:r>
      <w:r w:rsidR="00B43988" w:rsidRPr="00B43988">
        <w:t>doi:10.1001/jamapediatrics.2020.3215</w:t>
      </w:r>
    </w:p>
    <w:p w14:paraId="5FB877C7" w14:textId="527AF5D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lastRenderedPageBreak/>
        <w:t xml:space="preserve">Pfister RH, ed. </w:t>
      </w:r>
      <w:r>
        <w:rPr>
          <w:i/>
          <w:iCs/>
        </w:rPr>
        <w:t xml:space="preserve">Quality Improvement Kit: improving Discharge </w:t>
      </w:r>
      <w:r w:rsidRPr="00095D5A">
        <w:rPr>
          <w:i/>
          <w:iCs/>
        </w:rPr>
        <w:t>Management</w:t>
      </w:r>
      <w:r>
        <w:t>.</w:t>
      </w:r>
      <w:r w:rsidRPr="001D013F">
        <w:t xml:space="preserve"> </w:t>
      </w:r>
      <w:r>
        <w:t xml:space="preserve">Burlington, VT: Vermont Oxford Network, </w:t>
      </w:r>
      <w:r w:rsidRPr="001D013F">
        <w:t>2009</w:t>
      </w:r>
    </w:p>
    <w:p w14:paraId="42D7FFC9" w14:textId="0DD6F0AB" w:rsidR="006467C8" w:rsidRPr="001D013F" w:rsidRDefault="00DC6F42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>S</w:t>
      </w:r>
      <w:r w:rsidR="006467C8" w:rsidRPr="001D013F">
        <w:t xml:space="preserve">eaton SE, Barker L, Jenkins D, Draper ES, Abrams KR, </w:t>
      </w:r>
      <w:proofErr w:type="spellStart"/>
      <w:r w:rsidR="006467C8" w:rsidRPr="001D013F">
        <w:t>Manktelow</w:t>
      </w:r>
      <w:proofErr w:type="spellEnd"/>
      <w:r w:rsidR="006467C8" w:rsidRPr="001D013F">
        <w:t xml:space="preserve"> BN. What factors predict length of stay in a neonatal unit: a systematic review. </w:t>
      </w:r>
      <w:r w:rsidR="006467C8" w:rsidRPr="00095D5A">
        <w:rPr>
          <w:i/>
          <w:iCs/>
        </w:rPr>
        <w:t>BMJ Open</w:t>
      </w:r>
      <w:r w:rsidR="006467C8" w:rsidRPr="001D013F">
        <w:t>. 2016;6(10</w:t>
      </w:r>
      <w:proofErr w:type="gramStart"/>
      <w:r w:rsidR="006467C8">
        <w:t>):e</w:t>
      </w:r>
      <w:proofErr w:type="gramEnd"/>
      <w:r w:rsidR="006467C8">
        <w:t>010466</w:t>
      </w:r>
    </w:p>
    <w:p w14:paraId="737C8A79" w14:textId="6B825F4F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Seaton SE, Barker L, Draper ES, Abrams KR, Modi N, </w:t>
      </w:r>
      <w:proofErr w:type="spellStart"/>
      <w:r w:rsidRPr="001D013F">
        <w:t>Manktelow</w:t>
      </w:r>
      <w:proofErr w:type="spellEnd"/>
      <w:r w:rsidRPr="001D013F">
        <w:t xml:space="preserve"> BN. Estimating neonatal length of stay for babies born very preterm. </w:t>
      </w:r>
      <w:r w:rsidRPr="00095D5A">
        <w:rPr>
          <w:i/>
          <w:iCs/>
        </w:rPr>
        <w:t>Arch Dis Child Fetal Neonatal Ed</w:t>
      </w:r>
      <w:r w:rsidRPr="001D013F">
        <w:t>. 2019;104(2</w:t>
      </w:r>
      <w:proofErr w:type="gramStart"/>
      <w:r w:rsidRPr="001D013F">
        <w:t>):F</w:t>
      </w:r>
      <w:proofErr w:type="gramEnd"/>
      <w:r w:rsidRPr="001D013F">
        <w:t>182</w:t>
      </w:r>
      <w:r>
        <w:t>–</w:t>
      </w:r>
      <w:r w:rsidRPr="001D013F">
        <w:t>F186</w:t>
      </w:r>
    </w:p>
    <w:p w14:paraId="0BD9369A" w14:textId="1565BD05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Fleming PJ, Ingram J, Johnson D, Blair PS. Estimating discharge dates using routinely collected data: improving the preparedness of parents of preterm infants for discharge home. </w:t>
      </w:r>
      <w:r w:rsidRPr="00095D5A">
        <w:rPr>
          <w:i/>
          <w:iCs/>
        </w:rPr>
        <w:t>Arch Dis Child Fetal Neonatal Ed</w:t>
      </w:r>
      <w:r w:rsidRPr="001D013F">
        <w:t>. 2017;102(2</w:t>
      </w:r>
      <w:proofErr w:type="gramStart"/>
      <w:r w:rsidRPr="001D013F">
        <w:t>):F</w:t>
      </w:r>
      <w:proofErr w:type="gramEnd"/>
      <w:r w:rsidRPr="001D013F">
        <w:t>170</w:t>
      </w:r>
      <w:r>
        <w:t>–</w:t>
      </w:r>
      <w:r w:rsidRPr="001D013F">
        <w:t>F172</w:t>
      </w:r>
    </w:p>
    <w:p w14:paraId="27106220" w14:textId="3350A9F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Van Cleave J, Boudreau AA, McAllister J, Cooley WC, Maxwell A, </w:t>
      </w:r>
      <w:proofErr w:type="spellStart"/>
      <w:r w:rsidRPr="001D013F">
        <w:t>Kuhlthau</w:t>
      </w:r>
      <w:proofErr w:type="spellEnd"/>
      <w:r w:rsidRPr="001D013F">
        <w:t xml:space="preserve"> K. Care coordination over time in medical homes for children with special health care needs. </w:t>
      </w:r>
      <w:r w:rsidRPr="00095D5A">
        <w:rPr>
          <w:i/>
          <w:iCs/>
        </w:rPr>
        <w:t>Pediatrics</w:t>
      </w:r>
      <w:r w:rsidRPr="001D013F">
        <w:t>. 2015;135(6):1018</w:t>
      </w:r>
      <w:r>
        <w:t>–</w:t>
      </w:r>
      <w:r w:rsidRPr="001D013F">
        <w:t>1026</w:t>
      </w:r>
    </w:p>
    <w:p w14:paraId="3A913799" w14:textId="754334EF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Litt JS, McCormick MC. Preterm infants are less likely to have a family-centered medical home than term-born peers. </w:t>
      </w:r>
      <w:r w:rsidRPr="00095D5A">
        <w:rPr>
          <w:i/>
          <w:iCs/>
        </w:rPr>
        <w:t xml:space="preserve">J </w:t>
      </w:r>
      <w:proofErr w:type="spellStart"/>
      <w:r w:rsidRPr="00095D5A">
        <w:rPr>
          <w:i/>
          <w:iCs/>
        </w:rPr>
        <w:t>Perinatol</w:t>
      </w:r>
      <w:proofErr w:type="spellEnd"/>
      <w:r w:rsidRPr="001D013F">
        <w:t>. 2018;38(10):1391</w:t>
      </w:r>
      <w:r>
        <w:t>–</w:t>
      </w:r>
      <w:r w:rsidRPr="001D013F">
        <w:t>1397</w:t>
      </w:r>
    </w:p>
    <w:p w14:paraId="700EB77B" w14:textId="59720E99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Litt JS, McCormick MC. Care coordination, the family-centered medical home, and functional disability among children with special health care needs. </w:t>
      </w:r>
      <w:proofErr w:type="spellStart"/>
      <w:r w:rsidRPr="00095D5A">
        <w:rPr>
          <w:i/>
          <w:iCs/>
        </w:rPr>
        <w:t>Acad</w:t>
      </w:r>
      <w:proofErr w:type="spellEnd"/>
      <w:r w:rsidRPr="00095D5A">
        <w:rPr>
          <w:i/>
          <w:iCs/>
        </w:rPr>
        <w:t xml:space="preserve"> </w:t>
      </w:r>
      <w:proofErr w:type="spellStart"/>
      <w:r w:rsidRPr="00095D5A">
        <w:rPr>
          <w:i/>
          <w:iCs/>
        </w:rPr>
        <w:t>Pediatr</w:t>
      </w:r>
      <w:proofErr w:type="spellEnd"/>
      <w:r w:rsidRPr="001D013F">
        <w:t>. 2015;15(2):185</w:t>
      </w:r>
      <w:r>
        <w:t>–</w:t>
      </w:r>
      <w:r w:rsidRPr="001D013F">
        <w:t>190</w:t>
      </w:r>
    </w:p>
    <w:p w14:paraId="5279FC94" w14:textId="4B19013B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Homer CJ, </w:t>
      </w:r>
      <w:proofErr w:type="spellStart"/>
      <w:r w:rsidRPr="001D013F">
        <w:t>Klatka</w:t>
      </w:r>
      <w:proofErr w:type="spellEnd"/>
      <w:r w:rsidRPr="001D013F">
        <w:t xml:space="preserve"> K, </w:t>
      </w:r>
      <w:proofErr w:type="spellStart"/>
      <w:r w:rsidRPr="001D013F">
        <w:t>Romm</w:t>
      </w:r>
      <w:proofErr w:type="spellEnd"/>
      <w:r w:rsidRPr="001D013F">
        <w:t xml:space="preserve"> D, et al. A review of the evidence for the medical home for children with special health care needs. </w:t>
      </w:r>
      <w:r w:rsidRPr="00095D5A">
        <w:rPr>
          <w:i/>
          <w:iCs/>
        </w:rPr>
        <w:t>Pediatrics</w:t>
      </w:r>
      <w:r w:rsidRPr="001D013F">
        <w:t>. 2008;122(4</w:t>
      </w:r>
      <w:proofErr w:type="gramStart"/>
      <w:r w:rsidRPr="001D013F">
        <w:t>):e</w:t>
      </w:r>
      <w:proofErr w:type="gramEnd"/>
      <w:r w:rsidRPr="001D013F">
        <w:t>922</w:t>
      </w:r>
      <w:r>
        <w:t>–</w:t>
      </w:r>
      <w:r w:rsidRPr="001D013F">
        <w:t>e937</w:t>
      </w:r>
    </w:p>
    <w:p w14:paraId="2CDBA391" w14:textId="4BD170B3" w:rsidR="006467C8" w:rsidRPr="001D013F" w:rsidRDefault="006467C8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American Academy of Pediatrics </w:t>
      </w:r>
      <w:r w:rsidRPr="001D013F">
        <w:t xml:space="preserve">Medical Home Initiatives for Children With Special Needs Project Advisory. Policy </w:t>
      </w:r>
      <w:r>
        <w:t>s</w:t>
      </w:r>
      <w:r w:rsidRPr="001D013F">
        <w:t xml:space="preserve">tatement: </w:t>
      </w:r>
      <w:r>
        <w:t>o</w:t>
      </w:r>
      <w:r w:rsidRPr="001D013F">
        <w:t xml:space="preserve">rganizational principles to guide and define the child health care system and/or improve the health of all children. </w:t>
      </w:r>
      <w:r w:rsidRPr="00095D5A">
        <w:rPr>
          <w:i/>
          <w:iCs/>
        </w:rPr>
        <w:t>Pediatrics</w:t>
      </w:r>
      <w:r w:rsidRPr="001D013F">
        <w:t>. 2004;113(</w:t>
      </w:r>
      <w:r>
        <w:t>5, s</w:t>
      </w:r>
      <w:r w:rsidRPr="001D013F">
        <w:t>uppl):1545</w:t>
      </w:r>
      <w:r>
        <w:t>–</w:t>
      </w:r>
      <w:r w:rsidRPr="001D013F">
        <w:t>1547</w:t>
      </w:r>
    </w:p>
    <w:p w14:paraId="62CE5FB9" w14:textId="7DCFD994" w:rsidR="00CA57F9" w:rsidRDefault="00CA57F9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Gupta M, Pursley DM, Smith VC. Preparing for discharge from the neonatal intensive care unit. </w:t>
      </w:r>
      <w:r>
        <w:rPr>
          <w:i/>
          <w:iCs/>
        </w:rPr>
        <w:t>Pediatrics</w:t>
      </w:r>
      <w:r>
        <w:t>. 2019;143(6</w:t>
      </w:r>
      <w:proofErr w:type="gramStart"/>
      <w:r>
        <w:t>):e</w:t>
      </w:r>
      <w:proofErr w:type="gramEnd"/>
      <w:r>
        <w:t>20182915. doi:10.1542/peds.2018-2915</w:t>
      </w:r>
    </w:p>
    <w:p w14:paraId="1CB75266" w14:textId="59D020A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Agency for Healthcare Research and Quality. </w:t>
      </w:r>
      <w:r w:rsidRPr="001D013F">
        <w:t xml:space="preserve">Transitioning </w:t>
      </w:r>
      <w:r>
        <w:t>n</w:t>
      </w:r>
      <w:r w:rsidRPr="001D013F">
        <w:t xml:space="preserve">ewborns from NICU to </w:t>
      </w:r>
      <w:r>
        <w:t>h</w:t>
      </w:r>
      <w:r w:rsidRPr="001D013F">
        <w:t xml:space="preserve">ome. </w:t>
      </w:r>
      <w:r>
        <w:t xml:space="preserve">Available at: </w:t>
      </w:r>
      <w:hyperlink r:id="rId19" w:history="1">
        <w:r w:rsidRPr="00D85947">
          <w:rPr>
            <w:rStyle w:val="Hyperlink"/>
          </w:rPr>
          <w:t>http://www.ahrq.gov/patient-safety/settings/hospital/resource/nicu/index.html</w:t>
        </w:r>
      </w:hyperlink>
      <w:r>
        <w:t xml:space="preserve">. </w:t>
      </w:r>
      <w:r w:rsidRPr="001D013F">
        <w:t>Accessed November 11, 2019</w:t>
      </w:r>
    </w:p>
    <w:p w14:paraId="3FE0C1A9" w14:textId="15E54004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Smith VC, Hwang SS, </w:t>
      </w:r>
      <w:proofErr w:type="spellStart"/>
      <w:r w:rsidRPr="001D013F">
        <w:t>Dukhovny</w:t>
      </w:r>
      <w:proofErr w:type="spellEnd"/>
      <w:r w:rsidRPr="001D013F">
        <w:t xml:space="preserve"> D, Young S, Pursley DM. Neonatal intensive care unit discharge preparation, family readiness and infant outcomes: connecting the dots. </w:t>
      </w:r>
      <w:r w:rsidRPr="00095D5A">
        <w:rPr>
          <w:i/>
          <w:iCs/>
        </w:rPr>
        <w:t xml:space="preserve">J </w:t>
      </w:r>
      <w:proofErr w:type="spellStart"/>
      <w:r w:rsidRPr="00095D5A">
        <w:rPr>
          <w:i/>
          <w:iCs/>
        </w:rPr>
        <w:t>Perinatol</w:t>
      </w:r>
      <w:proofErr w:type="spellEnd"/>
      <w:r w:rsidRPr="001D013F">
        <w:t>. 2013;33(6):415</w:t>
      </w:r>
      <w:r>
        <w:t>–</w:t>
      </w:r>
      <w:r w:rsidRPr="001D013F">
        <w:t>421</w:t>
      </w:r>
    </w:p>
    <w:p w14:paraId="2C72497C" w14:textId="7C41922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Purdy IB, Craig JW, </w:t>
      </w:r>
      <w:proofErr w:type="spellStart"/>
      <w:r w:rsidRPr="001D013F">
        <w:t>Zeanah</w:t>
      </w:r>
      <w:proofErr w:type="spellEnd"/>
      <w:r w:rsidRPr="001D013F">
        <w:t xml:space="preserve"> P. NICU discharge planning and beyond: recommendations for parent psychosocial support. </w:t>
      </w:r>
      <w:r w:rsidRPr="00095D5A">
        <w:rPr>
          <w:i/>
          <w:iCs/>
        </w:rPr>
        <w:t xml:space="preserve">J </w:t>
      </w:r>
      <w:proofErr w:type="spellStart"/>
      <w:r w:rsidRPr="00095D5A">
        <w:rPr>
          <w:i/>
          <w:iCs/>
        </w:rPr>
        <w:t>Perinatol</w:t>
      </w:r>
      <w:proofErr w:type="spellEnd"/>
      <w:r w:rsidRPr="001D013F">
        <w:t>. 2015;35(</w:t>
      </w:r>
      <w:r>
        <w:t>s</w:t>
      </w:r>
      <w:r w:rsidRPr="001D013F">
        <w:t>uppl 1</w:t>
      </w:r>
      <w:proofErr w:type="gramStart"/>
      <w:r w:rsidRPr="001D013F">
        <w:t>):S</w:t>
      </w:r>
      <w:proofErr w:type="gramEnd"/>
      <w:r w:rsidRPr="001D013F">
        <w:t>24</w:t>
      </w:r>
      <w:r>
        <w:t>–</w:t>
      </w:r>
      <w:r w:rsidRPr="001D013F">
        <w:t>S28</w:t>
      </w:r>
    </w:p>
    <w:p w14:paraId="3779F2C3" w14:textId="31F9D8E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American Academy of Pediatrics </w:t>
      </w:r>
      <w:r w:rsidRPr="001D013F">
        <w:t xml:space="preserve">Committee on Fetus and Newborn. Hospital discharge of the high-risk neonate. </w:t>
      </w:r>
      <w:r w:rsidRPr="00095D5A">
        <w:rPr>
          <w:i/>
          <w:iCs/>
        </w:rPr>
        <w:t>Pediatrics</w:t>
      </w:r>
      <w:r w:rsidRPr="001D013F">
        <w:t>. 2008;122(5):1119</w:t>
      </w:r>
      <w:r>
        <w:t>–</w:t>
      </w:r>
      <w:r w:rsidRPr="001D013F">
        <w:t>1126</w:t>
      </w:r>
    </w:p>
    <w:p w14:paraId="5C62FF13" w14:textId="1A46EB7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Murch TN, Smith VC. Supporting families as they transition home. </w:t>
      </w:r>
      <w:r w:rsidRPr="00095D5A">
        <w:rPr>
          <w:i/>
          <w:iCs/>
        </w:rPr>
        <w:t xml:space="preserve">Newborn Infant </w:t>
      </w:r>
      <w:proofErr w:type="spellStart"/>
      <w:r w:rsidRPr="00095D5A">
        <w:rPr>
          <w:i/>
          <w:iCs/>
        </w:rPr>
        <w:t>Nurs</w:t>
      </w:r>
      <w:proofErr w:type="spellEnd"/>
      <w:r w:rsidRPr="00095D5A">
        <w:rPr>
          <w:i/>
          <w:iCs/>
        </w:rPr>
        <w:t xml:space="preserve"> Rev</w:t>
      </w:r>
      <w:r w:rsidRPr="001D013F">
        <w:t>. 2016;16(4):298</w:t>
      </w:r>
      <w:r>
        <w:t>–</w:t>
      </w:r>
      <w:r w:rsidRPr="001D013F">
        <w:t>302</w:t>
      </w:r>
    </w:p>
    <w:p w14:paraId="5CE06CBE" w14:textId="38CB784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Gottlieb LM, </w:t>
      </w:r>
      <w:proofErr w:type="spellStart"/>
      <w:r w:rsidRPr="001D013F">
        <w:t>Hessler</w:t>
      </w:r>
      <w:proofErr w:type="spellEnd"/>
      <w:r w:rsidRPr="001D013F">
        <w:t xml:space="preserve"> D, Long D, et al. Effects of social needs screening and in-person service navigation on child health: </w:t>
      </w:r>
      <w:r>
        <w:t>a</w:t>
      </w:r>
      <w:r w:rsidRPr="001D013F">
        <w:t xml:space="preserve"> randomized clinical trial. </w:t>
      </w:r>
      <w:r w:rsidRPr="00EB7898">
        <w:rPr>
          <w:i/>
          <w:iCs/>
        </w:rPr>
        <w:t xml:space="preserve">JAMA </w:t>
      </w:r>
      <w:proofErr w:type="spellStart"/>
      <w:r w:rsidRPr="00EB7898">
        <w:rPr>
          <w:i/>
          <w:iCs/>
        </w:rPr>
        <w:t>Pediatr</w:t>
      </w:r>
      <w:proofErr w:type="spellEnd"/>
      <w:r w:rsidRPr="001D013F">
        <w:t>. 2016;170(11</w:t>
      </w:r>
      <w:proofErr w:type="gramStart"/>
      <w:r w:rsidRPr="001D013F">
        <w:t>):e</w:t>
      </w:r>
      <w:proofErr w:type="gramEnd"/>
      <w:r w:rsidRPr="001D013F">
        <w:t>162521</w:t>
      </w:r>
    </w:p>
    <w:p w14:paraId="28B8A3FE" w14:textId="0A88AC98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Lester BM, </w:t>
      </w:r>
      <w:proofErr w:type="spellStart"/>
      <w:r w:rsidRPr="001D013F">
        <w:t>Andreozzi</w:t>
      </w:r>
      <w:proofErr w:type="spellEnd"/>
      <w:r w:rsidRPr="001D013F">
        <w:t xml:space="preserve">-Fontaine L, </w:t>
      </w:r>
      <w:proofErr w:type="spellStart"/>
      <w:r w:rsidRPr="001D013F">
        <w:t>Tronick</w:t>
      </w:r>
      <w:proofErr w:type="spellEnd"/>
      <w:r w:rsidRPr="001D013F">
        <w:t xml:space="preserve"> E, </w:t>
      </w:r>
      <w:proofErr w:type="spellStart"/>
      <w:r w:rsidRPr="001D013F">
        <w:t>Bigsby</w:t>
      </w:r>
      <w:proofErr w:type="spellEnd"/>
      <w:r w:rsidRPr="001D013F">
        <w:t xml:space="preserve"> R. Assessment and evaluation of the </w:t>
      </w:r>
      <w:proofErr w:type="gramStart"/>
      <w:r w:rsidRPr="001D013F">
        <w:t>high risk</w:t>
      </w:r>
      <w:proofErr w:type="gramEnd"/>
      <w:r w:rsidRPr="001D013F">
        <w:t xml:space="preserve"> neonate: </w:t>
      </w:r>
      <w:r>
        <w:t>t</w:t>
      </w:r>
      <w:r w:rsidRPr="001D013F">
        <w:t xml:space="preserve">he NICU Network Neurobehavioral Scale. </w:t>
      </w:r>
      <w:r w:rsidRPr="00EB7898">
        <w:rPr>
          <w:i/>
          <w:iCs/>
        </w:rPr>
        <w:t>J Vis Exp</w:t>
      </w:r>
      <w:r w:rsidRPr="001D013F">
        <w:t>. 2014;(90)</w:t>
      </w:r>
      <w:r>
        <w:t>:3368</w:t>
      </w:r>
    </w:p>
    <w:p w14:paraId="4E78217D" w14:textId="193313B5" w:rsidR="00A9108D" w:rsidRPr="001D013F" w:rsidRDefault="00DC6F42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>S</w:t>
      </w:r>
      <w:r w:rsidR="00A9108D" w:rsidRPr="001D013F">
        <w:t xml:space="preserve">igurdson K, Mitchell B, Liu J, et al. Racial/ethnic disparities in neonatal intensive care: A systematic review. </w:t>
      </w:r>
      <w:r w:rsidR="00A9108D" w:rsidRPr="00EB7898">
        <w:rPr>
          <w:i/>
          <w:iCs/>
        </w:rPr>
        <w:t>Pediatrics</w:t>
      </w:r>
      <w:r w:rsidR="00A9108D" w:rsidRPr="001D013F">
        <w:t>. 2019;144(2</w:t>
      </w:r>
      <w:proofErr w:type="gramStart"/>
      <w:r w:rsidR="00A9108D" w:rsidRPr="001D013F">
        <w:t>)</w:t>
      </w:r>
      <w:r w:rsidR="00A9108D">
        <w:t>:e</w:t>
      </w:r>
      <w:proofErr w:type="gramEnd"/>
      <w:r w:rsidR="00A9108D">
        <w:t>20183114</w:t>
      </w:r>
    </w:p>
    <w:p w14:paraId="71A9868F" w14:textId="25EA9A40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Pursley DM, McCormick MC. Bending the arc for the extremely low gestational age newborn. </w:t>
      </w:r>
      <w:proofErr w:type="spellStart"/>
      <w:r w:rsidRPr="00EB7898">
        <w:rPr>
          <w:i/>
          <w:iCs/>
        </w:rPr>
        <w:t>Pediatr</w:t>
      </w:r>
      <w:proofErr w:type="spellEnd"/>
      <w:r w:rsidRPr="00EB7898">
        <w:rPr>
          <w:i/>
          <w:iCs/>
        </w:rPr>
        <w:t xml:space="preserve"> Res</w:t>
      </w:r>
      <w:r w:rsidRPr="001D013F">
        <w:t>. 2018;83(4):751</w:t>
      </w:r>
      <w:r>
        <w:t>–</w:t>
      </w:r>
      <w:r w:rsidRPr="001D013F">
        <w:t>753</w:t>
      </w:r>
    </w:p>
    <w:p w14:paraId="0F9C071A" w14:textId="6B8A815C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Pai VV, Kan P, Bennett M, Carmichael SL, Lee HC, Hintz SR. Improved referral of very low birthweight infants to high-risk infant follow-up in California.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Pediatr</w:t>
      </w:r>
      <w:proofErr w:type="spellEnd"/>
      <w:r w:rsidRPr="001D013F">
        <w:t xml:space="preserve">. </w:t>
      </w:r>
      <w:proofErr w:type="gramStart"/>
      <w:r w:rsidRPr="001D013F">
        <w:t>2019;</w:t>
      </w:r>
      <w:r>
        <w:t>216:101</w:t>
      </w:r>
      <w:proofErr w:type="gramEnd"/>
      <w:r>
        <w:t>.e1–108.e1</w:t>
      </w:r>
    </w:p>
    <w:p w14:paraId="6FC91A54" w14:textId="06BB20E0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McCormick MC, Litt JS. The outcomes of very preterm infants: Is it time to ask different questions? </w:t>
      </w:r>
      <w:r w:rsidRPr="00EB7898">
        <w:rPr>
          <w:i/>
          <w:iCs/>
        </w:rPr>
        <w:t>Pediatrics</w:t>
      </w:r>
      <w:r w:rsidRPr="001D013F">
        <w:t>. 2017;139(1</w:t>
      </w:r>
      <w:proofErr w:type="gramStart"/>
      <w:r w:rsidRPr="001D013F">
        <w:t>)</w:t>
      </w:r>
      <w:r>
        <w:t>:e</w:t>
      </w:r>
      <w:proofErr w:type="gramEnd"/>
      <w:r>
        <w:t>20161694</w:t>
      </w:r>
    </w:p>
    <w:p w14:paraId="1103F6F7" w14:textId="0F7B9995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Hintz SR, Gould JB, Bennett MV, et al. Referral of very low birth weight infants to high-risk follow-up at neonatal intensive care unit discharge varies widely across California.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Pediatr</w:t>
      </w:r>
      <w:proofErr w:type="spellEnd"/>
      <w:r w:rsidRPr="001D013F">
        <w:t>. 2015;166(2):289</w:t>
      </w:r>
      <w:r>
        <w:t>–</w:t>
      </w:r>
      <w:r w:rsidRPr="001D013F">
        <w:t>295</w:t>
      </w:r>
    </w:p>
    <w:p w14:paraId="60260B50" w14:textId="0F8B0A9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Chorna</w:t>
      </w:r>
      <w:proofErr w:type="spellEnd"/>
      <w:r w:rsidRPr="001D013F">
        <w:t xml:space="preserve"> O, Baldwin HS, </w:t>
      </w:r>
      <w:proofErr w:type="spellStart"/>
      <w:r w:rsidRPr="001D013F">
        <w:t>Neumaier</w:t>
      </w:r>
      <w:proofErr w:type="spellEnd"/>
      <w:r w:rsidRPr="001D013F">
        <w:t xml:space="preserve"> J, et al. Feasibility of a team approach to complex congenital heart defect neurodevelopmental follow-up: Early experience of a combined cardiology/neonatal intensive care unit follow-up program. </w:t>
      </w:r>
      <w:r w:rsidRPr="00EB7898">
        <w:rPr>
          <w:i/>
          <w:iCs/>
        </w:rPr>
        <w:t>Circ Cardiovasc Qual Outcomes</w:t>
      </w:r>
      <w:r w:rsidRPr="001D013F">
        <w:t>. 2016;9(4):432</w:t>
      </w:r>
      <w:r>
        <w:t>–</w:t>
      </w:r>
      <w:r w:rsidRPr="001D013F">
        <w:t>440</w:t>
      </w:r>
    </w:p>
    <w:p w14:paraId="2E8CF500" w14:textId="0278B29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American Academy of Pediatrics. Follow-up care of high-risk infants. </w:t>
      </w:r>
      <w:r w:rsidRPr="00EB7898">
        <w:rPr>
          <w:i/>
          <w:iCs/>
        </w:rPr>
        <w:t>Pediatrics</w:t>
      </w:r>
      <w:r w:rsidRPr="001D013F">
        <w:t>. 2004;114(</w:t>
      </w:r>
      <w:r>
        <w:t>s</w:t>
      </w:r>
      <w:r w:rsidRPr="001D013F">
        <w:t>upplement 5):1377</w:t>
      </w:r>
      <w:r>
        <w:t>–</w:t>
      </w:r>
      <w:r w:rsidRPr="001D013F">
        <w:t>1397</w:t>
      </w:r>
    </w:p>
    <w:p w14:paraId="709FBAEB" w14:textId="33899E56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Patel R, </w:t>
      </w:r>
      <w:proofErr w:type="spellStart"/>
      <w:r w:rsidRPr="001D013F">
        <w:t>Nudelman</w:t>
      </w:r>
      <w:proofErr w:type="spellEnd"/>
      <w:r w:rsidRPr="001D013F">
        <w:t xml:space="preserve"> M, </w:t>
      </w:r>
      <w:proofErr w:type="spellStart"/>
      <w:r w:rsidRPr="001D013F">
        <w:t>Olarewaju</w:t>
      </w:r>
      <w:proofErr w:type="spellEnd"/>
      <w:r w:rsidRPr="001D013F">
        <w:t xml:space="preserve"> A, et al. Homecare and healthcare utilization errors post–neonatal intensive care unit discharge. </w:t>
      </w:r>
      <w:r w:rsidRPr="00EB7898">
        <w:rPr>
          <w:i/>
          <w:iCs/>
        </w:rPr>
        <w:t>Adv Neonatal Care</w:t>
      </w:r>
      <w:r w:rsidRPr="001D013F">
        <w:t>. 2017;17(4):258</w:t>
      </w:r>
      <w:r>
        <w:t>–</w:t>
      </w:r>
      <w:r w:rsidRPr="001D013F">
        <w:t>264</w:t>
      </w:r>
    </w:p>
    <w:p w14:paraId="3AD2B2DF" w14:textId="0AC1246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Olds</w:t>
      </w:r>
      <w:proofErr w:type="spellEnd"/>
      <w:r w:rsidRPr="001D013F">
        <w:t xml:space="preserve"> DL, </w:t>
      </w:r>
      <w:proofErr w:type="spellStart"/>
      <w:r w:rsidRPr="001D013F">
        <w:t>Kitzman</w:t>
      </w:r>
      <w:proofErr w:type="spellEnd"/>
      <w:r w:rsidRPr="001D013F">
        <w:t xml:space="preserve"> H, Anson E, et al. Prenatal and infancy nurse home visiting effects on mothers: 18-year follow-up of a randomized trial. </w:t>
      </w:r>
      <w:r w:rsidRPr="00EB7898">
        <w:rPr>
          <w:i/>
          <w:iCs/>
        </w:rPr>
        <w:t>Pediatrics</w:t>
      </w:r>
      <w:r w:rsidRPr="001D013F">
        <w:t>.</w:t>
      </w:r>
      <w:r>
        <w:t xml:space="preserve"> 2019:144(6</w:t>
      </w:r>
      <w:proofErr w:type="gramStart"/>
      <w:r>
        <w:t>):e</w:t>
      </w:r>
      <w:proofErr w:type="gramEnd"/>
      <w:r>
        <w:t>20183889</w:t>
      </w:r>
      <w:r w:rsidRPr="001D013F">
        <w:t xml:space="preserve">. </w:t>
      </w:r>
    </w:p>
    <w:p w14:paraId="4024E543" w14:textId="766C5EA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Liu Y, McGowan E, Tucker R, Glasgow L, </w:t>
      </w:r>
      <w:proofErr w:type="spellStart"/>
      <w:r w:rsidRPr="001D013F">
        <w:t>Kluckman</w:t>
      </w:r>
      <w:proofErr w:type="spellEnd"/>
      <w:r w:rsidRPr="001D013F">
        <w:t xml:space="preserve"> M, </w:t>
      </w:r>
      <w:proofErr w:type="spellStart"/>
      <w:r w:rsidRPr="001D013F">
        <w:t>Vohr</w:t>
      </w:r>
      <w:proofErr w:type="spellEnd"/>
      <w:r w:rsidRPr="001D013F">
        <w:t xml:space="preserve"> B. Transition home plus program reduces Medicaid spending and health care use for high-risk infants admitted to the </w:t>
      </w:r>
      <w:r>
        <w:t>n</w:t>
      </w:r>
      <w:r w:rsidRPr="001D013F">
        <w:t xml:space="preserve">eonatal intensive care unit for 5 or more days.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Pediatr</w:t>
      </w:r>
      <w:proofErr w:type="spellEnd"/>
      <w:r w:rsidRPr="001D013F">
        <w:t xml:space="preserve">. </w:t>
      </w:r>
      <w:proofErr w:type="gramStart"/>
      <w:r w:rsidRPr="001D013F">
        <w:t>2018;200:91</w:t>
      </w:r>
      <w:proofErr w:type="gramEnd"/>
      <w:r>
        <w:t>–</w:t>
      </w:r>
      <w:r w:rsidRPr="001D013F">
        <w:t>97.e3</w:t>
      </w:r>
    </w:p>
    <w:p w14:paraId="627C036B" w14:textId="0EC5E480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Kitzman</w:t>
      </w:r>
      <w:proofErr w:type="spellEnd"/>
      <w:r w:rsidRPr="001D013F">
        <w:t xml:space="preserve"> H, </w:t>
      </w:r>
      <w:proofErr w:type="spellStart"/>
      <w:r w:rsidRPr="001D013F">
        <w:t>Olds</w:t>
      </w:r>
      <w:proofErr w:type="spellEnd"/>
      <w:r w:rsidRPr="001D013F">
        <w:t xml:space="preserve"> DL, </w:t>
      </w:r>
      <w:proofErr w:type="spellStart"/>
      <w:r w:rsidRPr="001D013F">
        <w:t>Knudtson</w:t>
      </w:r>
      <w:proofErr w:type="spellEnd"/>
      <w:r w:rsidRPr="001D013F">
        <w:t xml:space="preserve"> MD, et al. Prenatal and/or infancy nurse home visiting and 18-year outcomes of a randomized trial. </w:t>
      </w:r>
      <w:r w:rsidRPr="00EB7898">
        <w:rPr>
          <w:i/>
          <w:iCs/>
        </w:rPr>
        <w:t>Pediatrics</w:t>
      </w:r>
      <w:r w:rsidRPr="001D013F">
        <w:t xml:space="preserve">. </w:t>
      </w:r>
      <w:r>
        <w:t>2019;144(6</w:t>
      </w:r>
      <w:proofErr w:type="gramStart"/>
      <w:r>
        <w:t>):e</w:t>
      </w:r>
      <w:proofErr w:type="gramEnd"/>
      <w:r>
        <w:t>20183876</w:t>
      </w:r>
    </w:p>
    <w:p w14:paraId="4A9C1608" w14:textId="58DBC363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Hobbs JE, </w:t>
      </w:r>
      <w:proofErr w:type="spellStart"/>
      <w:r w:rsidRPr="001D013F">
        <w:t>Tschudy</w:t>
      </w:r>
      <w:proofErr w:type="spellEnd"/>
      <w:r w:rsidRPr="001D013F">
        <w:t xml:space="preserve"> MM, Hussey-Gardner B, Jennings JM, Boss RD. “I don’t know what I was expecting”: </w:t>
      </w:r>
      <w:r>
        <w:t>h</w:t>
      </w:r>
      <w:r w:rsidRPr="001D013F">
        <w:t xml:space="preserve">ome visits by neonatology fellows for infants discharged from the NICU. </w:t>
      </w:r>
      <w:r w:rsidRPr="00EB7898">
        <w:rPr>
          <w:i/>
          <w:iCs/>
        </w:rPr>
        <w:t>Birth</w:t>
      </w:r>
      <w:r w:rsidRPr="001D013F">
        <w:t>. 2017;44(4):331</w:t>
      </w:r>
      <w:r>
        <w:t>–</w:t>
      </w:r>
      <w:r w:rsidRPr="001D013F">
        <w:t>336</w:t>
      </w:r>
    </w:p>
    <w:p w14:paraId="61061BE7" w14:textId="01E39259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Hamline MY, Speier RL, Vu PD, et al. Hospital-to-home interventions, use, and satisfaction: </w:t>
      </w:r>
      <w:r>
        <w:t>a</w:t>
      </w:r>
      <w:r w:rsidRPr="001D013F">
        <w:t xml:space="preserve"> meta-analysis. </w:t>
      </w:r>
      <w:r w:rsidRPr="00EB7898">
        <w:rPr>
          <w:i/>
          <w:iCs/>
        </w:rPr>
        <w:t>Pediatrics</w:t>
      </w:r>
      <w:r w:rsidRPr="001D013F">
        <w:t>. 2018;142(5</w:t>
      </w:r>
      <w:proofErr w:type="gramStart"/>
      <w:r w:rsidRPr="001D013F">
        <w:t>)</w:t>
      </w:r>
      <w:r>
        <w:t>:e</w:t>
      </w:r>
      <w:proofErr w:type="gramEnd"/>
      <w:r>
        <w:t>20180442</w:t>
      </w:r>
    </w:p>
    <w:p w14:paraId="42695571" w14:textId="12720A98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Awindaogo</w:t>
      </w:r>
      <w:proofErr w:type="spellEnd"/>
      <w:r w:rsidRPr="001D013F">
        <w:t xml:space="preserve"> F, Smith VC, Litt JS. Predictors of caregiver satisfaction with visiting nurse home visits after NICU discharge.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Perinatol</w:t>
      </w:r>
      <w:proofErr w:type="spellEnd"/>
      <w:r w:rsidRPr="001D013F">
        <w:t>. 2016;36(4):325</w:t>
      </w:r>
      <w:r>
        <w:t>–</w:t>
      </w:r>
      <w:r w:rsidRPr="001D013F">
        <w:t>328</w:t>
      </w:r>
    </w:p>
    <w:p w14:paraId="5DFFB8CD" w14:textId="3C0D2DC8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Schell S, </w:t>
      </w:r>
      <w:proofErr w:type="spellStart"/>
      <w:r w:rsidRPr="001D013F">
        <w:t>Kase</w:t>
      </w:r>
      <w:proofErr w:type="spellEnd"/>
      <w:r w:rsidRPr="001D013F">
        <w:t xml:space="preserve"> JS, Parvez B, et al. Maturational, comorbid, maternal and discharge domain impact on preterm rehospitalizations: a comparison of planned and unplanned rehospitalizations.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Perinatol</w:t>
      </w:r>
      <w:proofErr w:type="spellEnd"/>
      <w:r w:rsidRPr="001D013F">
        <w:t>. 2016;36(4):317</w:t>
      </w:r>
      <w:r>
        <w:t>–</w:t>
      </w:r>
      <w:r w:rsidRPr="001D013F">
        <w:t>324</w:t>
      </w:r>
    </w:p>
    <w:p w14:paraId="366167C4" w14:textId="60A223DA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MacMillan KDL, Rendon CP, Verma K, Riblet N, Washer DB, Volpe Holmes A. Association of rooming-in with outcomes for neonatal abstinence syndrome: A systematic review and meta-analysis. </w:t>
      </w:r>
      <w:r w:rsidRPr="00EB7898">
        <w:rPr>
          <w:i/>
          <w:iCs/>
        </w:rPr>
        <w:t xml:space="preserve">JAMA </w:t>
      </w:r>
      <w:proofErr w:type="spellStart"/>
      <w:r w:rsidRPr="00EB7898">
        <w:rPr>
          <w:i/>
          <w:iCs/>
        </w:rPr>
        <w:t>Pediatr</w:t>
      </w:r>
      <w:proofErr w:type="spellEnd"/>
      <w:r w:rsidRPr="001D013F">
        <w:t>. 2018;172(4):345</w:t>
      </w:r>
      <w:r>
        <w:t>–</w:t>
      </w:r>
      <w:r w:rsidRPr="001D013F">
        <w:t>351</w:t>
      </w:r>
    </w:p>
    <w:p w14:paraId="51D69521" w14:textId="47464600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Lundberg B, Lindgren C, Palme-</w:t>
      </w:r>
      <w:proofErr w:type="spellStart"/>
      <w:r w:rsidRPr="001D013F">
        <w:t>Kilander</w:t>
      </w:r>
      <w:proofErr w:type="spellEnd"/>
      <w:r w:rsidRPr="001D013F">
        <w:t xml:space="preserve"> C, </w:t>
      </w:r>
      <w:proofErr w:type="spellStart"/>
      <w:r w:rsidRPr="001D013F">
        <w:t>Örtenstrand</w:t>
      </w:r>
      <w:proofErr w:type="spellEnd"/>
      <w:r w:rsidRPr="001D013F">
        <w:t xml:space="preserve"> A, </w:t>
      </w:r>
      <w:proofErr w:type="spellStart"/>
      <w:r w:rsidRPr="001D013F">
        <w:t>Bonamy</w:t>
      </w:r>
      <w:proofErr w:type="spellEnd"/>
      <w:r w:rsidRPr="001D013F">
        <w:t xml:space="preserve"> A-KE, </w:t>
      </w:r>
      <w:proofErr w:type="spellStart"/>
      <w:r w:rsidRPr="001D013F">
        <w:t>Sarman</w:t>
      </w:r>
      <w:proofErr w:type="spellEnd"/>
      <w:r w:rsidRPr="001D013F">
        <w:t xml:space="preserve"> I. Hospital-assisted home care after early discharge from a Swedish neonatal intensive care unit was safe and readmissions were rare. </w:t>
      </w:r>
      <w:r w:rsidRPr="00EB7898">
        <w:rPr>
          <w:i/>
          <w:iCs/>
        </w:rPr>
        <w:t xml:space="preserve">Acta </w:t>
      </w:r>
      <w:proofErr w:type="spellStart"/>
      <w:r w:rsidRPr="00EB7898">
        <w:rPr>
          <w:i/>
          <w:iCs/>
        </w:rPr>
        <w:t>Paediatr</w:t>
      </w:r>
      <w:proofErr w:type="spellEnd"/>
      <w:r w:rsidRPr="001D013F">
        <w:t>. 2016;105(8):895</w:t>
      </w:r>
      <w:r>
        <w:t>–</w:t>
      </w:r>
      <w:r w:rsidRPr="001D013F">
        <w:t>901</w:t>
      </w:r>
    </w:p>
    <w:p w14:paraId="30240568" w14:textId="6DF845B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Laugier</w:t>
      </w:r>
      <w:proofErr w:type="spellEnd"/>
      <w:r w:rsidRPr="001D013F">
        <w:t xml:space="preserve"> O, Garcia P, </w:t>
      </w:r>
      <w:proofErr w:type="spellStart"/>
      <w:r w:rsidRPr="001D013F">
        <w:t>Boucékine</w:t>
      </w:r>
      <w:proofErr w:type="spellEnd"/>
      <w:r w:rsidRPr="001D013F">
        <w:t xml:space="preserve"> M, et al. Influence of socioeconomic context on the rehospitalization rates of infants born preterm.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Pediatr</w:t>
      </w:r>
      <w:proofErr w:type="spellEnd"/>
      <w:r w:rsidRPr="001D013F">
        <w:t xml:space="preserve">. </w:t>
      </w:r>
      <w:proofErr w:type="gramStart"/>
      <w:r w:rsidRPr="001D013F">
        <w:t>2017;190:174</w:t>
      </w:r>
      <w:proofErr w:type="gramEnd"/>
      <w:r>
        <w:t>–</w:t>
      </w:r>
      <w:r w:rsidRPr="001D013F">
        <w:t>179.e1</w:t>
      </w:r>
    </w:p>
    <w:p w14:paraId="70F02844" w14:textId="68985865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Kuo</w:t>
      </w:r>
      <w:proofErr w:type="spellEnd"/>
      <w:r w:rsidRPr="001D013F">
        <w:t xml:space="preserve"> DZ, Berry JG, Hall M, Lyle RE, </w:t>
      </w:r>
      <w:proofErr w:type="spellStart"/>
      <w:r w:rsidRPr="001D013F">
        <w:t>Stille</w:t>
      </w:r>
      <w:proofErr w:type="spellEnd"/>
      <w:r w:rsidRPr="001D013F">
        <w:t xml:space="preserve"> CJ. Health-care spending and utilization for children discharged from a neonatal intensive care unit.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Perinatol</w:t>
      </w:r>
      <w:proofErr w:type="spellEnd"/>
      <w:r w:rsidRPr="001D013F">
        <w:t>. 2018;38(6):734</w:t>
      </w:r>
      <w:r>
        <w:t>–</w:t>
      </w:r>
      <w:r w:rsidRPr="001D013F">
        <w:t>741</w:t>
      </w:r>
    </w:p>
    <w:p w14:paraId="4845AF77" w14:textId="37841AE5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Erdeve</w:t>
      </w:r>
      <w:proofErr w:type="spellEnd"/>
      <w:r w:rsidRPr="001D013F">
        <w:t xml:space="preserve"> O, Arsan S, </w:t>
      </w:r>
      <w:proofErr w:type="spellStart"/>
      <w:r w:rsidRPr="001D013F">
        <w:t>Yigit</w:t>
      </w:r>
      <w:proofErr w:type="spellEnd"/>
      <w:r w:rsidRPr="001D013F">
        <w:t xml:space="preserve"> S, </w:t>
      </w:r>
      <w:proofErr w:type="spellStart"/>
      <w:r w:rsidRPr="001D013F">
        <w:t>Armangil</w:t>
      </w:r>
      <w:proofErr w:type="spellEnd"/>
      <w:r w:rsidRPr="001D013F">
        <w:t xml:space="preserve"> D, </w:t>
      </w:r>
      <w:proofErr w:type="spellStart"/>
      <w:r w:rsidRPr="001D013F">
        <w:t>Atasay</w:t>
      </w:r>
      <w:proofErr w:type="spellEnd"/>
      <w:r w:rsidRPr="001D013F">
        <w:t xml:space="preserve"> B, Korkmaz A. The impact of individual room on rehospitalization and health service utilization in </w:t>
      </w:r>
      <w:proofErr w:type="spellStart"/>
      <w:r w:rsidRPr="001D013F">
        <w:t>preterms</w:t>
      </w:r>
      <w:proofErr w:type="spellEnd"/>
      <w:r w:rsidRPr="001D013F">
        <w:t xml:space="preserve"> after discharge. </w:t>
      </w:r>
      <w:r w:rsidRPr="00EB7898">
        <w:rPr>
          <w:i/>
          <w:iCs/>
        </w:rPr>
        <w:t xml:space="preserve">Acta </w:t>
      </w:r>
      <w:proofErr w:type="spellStart"/>
      <w:r w:rsidRPr="00EB7898">
        <w:rPr>
          <w:i/>
          <w:iCs/>
        </w:rPr>
        <w:t>Paediatr</w:t>
      </w:r>
      <w:proofErr w:type="spellEnd"/>
      <w:r w:rsidRPr="001D013F">
        <w:t>. 2008;97(10):1351</w:t>
      </w:r>
      <w:r>
        <w:t>–</w:t>
      </w:r>
      <w:r w:rsidRPr="001D013F">
        <w:t>1357</w:t>
      </w:r>
    </w:p>
    <w:p w14:paraId="34693E53" w14:textId="620894D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Aykanat</w:t>
      </w:r>
      <w:proofErr w:type="spellEnd"/>
      <w:r w:rsidRPr="001D013F">
        <w:t xml:space="preserve"> </w:t>
      </w:r>
      <w:proofErr w:type="spellStart"/>
      <w:r w:rsidRPr="001D013F">
        <w:t>Girgin</w:t>
      </w:r>
      <w:proofErr w:type="spellEnd"/>
      <w:r w:rsidRPr="001D013F">
        <w:t xml:space="preserve"> B, </w:t>
      </w:r>
      <w:proofErr w:type="spellStart"/>
      <w:r w:rsidRPr="001D013F">
        <w:t>Cimete</w:t>
      </w:r>
      <w:proofErr w:type="spellEnd"/>
      <w:r w:rsidRPr="001D013F">
        <w:t xml:space="preserve"> G. Rehospitalization of preterm infants according to the discharge risk level. </w:t>
      </w:r>
      <w:r w:rsidRPr="00EB7898">
        <w:rPr>
          <w:i/>
          <w:iCs/>
        </w:rPr>
        <w:t xml:space="preserve">J Spec </w:t>
      </w:r>
      <w:proofErr w:type="spellStart"/>
      <w:r w:rsidRPr="00EB7898">
        <w:rPr>
          <w:i/>
          <w:iCs/>
        </w:rPr>
        <w:t>Pediatr</w:t>
      </w:r>
      <w:proofErr w:type="spellEnd"/>
      <w:r w:rsidRPr="00EB7898">
        <w:rPr>
          <w:i/>
          <w:iCs/>
        </w:rPr>
        <w:t xml:space="preserve"> </w:t>
      </w:r>
      <w:proofErr w:type="spellStart"/>
      <w:r w:rsidRPr="00EB7898">
        <w:rPr>
          <w:i/>
          <w:iCs/>
        </w:rPr>
        <w:t>Nurs</w:t>
      </w:r>
      <w:proofErr w:type="spellEnd"/>
      <w:r w:rsidRPr="001D013F">
        <w:t>. 2017;22(1</w:t>
      </w:r>
      <w:proofErr w:type="gramStart"/>
      <w:r w:rsidRPr="001D013F">
        <w:t>)</w:t>
      </w:r>
      <w:r>
        <w:t>:e</w:t>
      </w:r>
      <w:proofErr w:type="gramEnd"/>
      <w:r>
        <w:t>12165</w:t>
      </w:r>
    </w:p>
    <w:p w14:paraId="4488C4AD" w14:textId="7E43BBAC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Willard A, Brown E, </w:t>
      </w:r>
      <w:proofErr w:type="spellStart"/>
      <w:r w:rsidRPr="001D013F">
        <w:t>Masten</w:t>
      </w:r>
      <w:proofErr w:type="spellEnd"/>
      <w:r w:rsidRPr="001D013F">
        <w:t xml:space="preserve"> M, et al. Complex surgical infants benefit from </w:t>
      </w:r>
      <w:proofErr w:type="spellStart"/>
      <w:r w:rsidRPr="001D013F">
        <w:t>postdischarge</w:t>
      </w:r>
      <w:proofErr w:type="spellEnd"/>
      <w:r w:rsidRPr="001D013F">
        <w:t xml:space="preserve"> telemedicine visits. </w:t>
      </w:r>
      <w:r w:rsidRPr="00EB7898">
        <w:rPr>
          <w:i/>
          <w:iCs/>
        </w:rPr>
        <w:t>Adv Neonatal Care</w:t>
      </w:r>
      <w:r w:rsidRPr="001D013F">
        <w:t>. 2018;18(1):22</w:t>
      </w:r>
      <w:r>
        <w:t>–</w:t>
      </w:r>
      <w:r w:rsidRPr="001D013F">
        <w:t>30</w:t>
      </w:r>
    </w:p>
    <w:p w14:paraId="4DEE0879" w14:textId="0783AA14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Robinson C, </w:t>
      </w:r>
      <w:proofErr w:type="spellStart"/>
      <w:r w:rsidRPr="001D013F">
        <w:t>Gund</w:t>
      </w:r>
      <w:proofErr w:type="spellEnd"/>
      <w:r w:rsidRPr="001D013F">
        <w:t xml:space="preserve"> A, </w:t>
      </w:r>
      <w:proofErr w:type="spellStart"/>
      <w:r w:rsidRPr="001D013F">
        <w:t>Sjöqvist</w:t>
      </w:r>
      <w:proofErr w:type="spellEnd"/>
      <w:r w:rsidRPr="001D013F">
        <w:t xml:space="preserve"> B-A, </w:t>
      </w:r>
      <w:proofErr w:type="spellStart"/>
      <w:r w:rsidRPr="001D013F">
        <w:t>Bry</w:t>
      </w:r>
      <w:proofErr w:type="spellEnd"/>
      <w:r w:rsidRPr="001D013F">
        <w:t xml:space="preserve"> K. Using telemedicine in the care of newborn infants after discharge from a neonatal intensive care unit reduced the need of hospital visits. </w:t>
      </w:r>
      <w:r w:rsidRPr="00EB7898">
        <w:rPr>
          <w:i/>
          <w:iCs/>
        </w:rPr>
        <w:t xml:space="preserve">Acta </w:t>
      </w:r>
      <w:proofErr w:type="spellStart"/>
      <w:r w:rsidRPr="00EB7898">
        <w:rPr>
          <w:i/>
          <w:iCs/>
        </w:rPr>
        <w:t>Paediatr</w:t>
      </w:r>
      <w:proofErr w:type="spellEnd"/>
      <w:r w:rsidRPr="001D013F">
        <w:t>. 2016;105(8):902</w:t>
      </w:r>
      <w:r>
        <w:t>–</w:t>
      </w:r>
      <w:r w:rsidRPr="001D013F">
        <w:t>909</w:t>
      </w:r>
    </w:p>
    <w:p w14:paraId="3FC7EBD0" w14:textId="612066A7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Rasmussen MK, </w:t>
      </w:r>
      <w:proofErr w:type="spellStart"/>
      <w:r w:rsidRPr="001D013F">
        <w:t>Clemensen</w:t>
      </w:r>
      <w:proofErr w:type="spellEnd"/>
      <w:r w:rsidRPr="001D013F">
        <w:t xml:space="preserve"> J, </w:t>
      </w:r>
      <w:proofErr w:type="spellStart"/>
      <w:r w:rsidRPr="001D013F">
        <w:t>Zachariassen</w:t>
      </w:r>
      <w:proofErr w:type="spellEnd"/>
      <w:r w:rsidRPr="001D013F">
        <w:t xml:space="preserve"> G, et al. Cost analysis of neonatal tele-homecare for preterm infants compared to hospital-based care.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Telemed</w:t>
      </w:r>
      <w:proofErr w:type="spellEnd"/>
      <w:r w:rsidRPr="00EB7898">
        <w:rPr>
          <w:i/>
          <w:iCs/>
        </w:rPr>
        <w:t xml:space="preserve"> Telecare</w:t>
      </w:r>
      <w:r w:rsidRPr="001D013F">
        <w:t xml:space="preserve">. </w:t>
      </w:r>
      <w:r>
        <w:t>2020;26(7-8):474–481</w:t>
      </w:r>
    </w:p>
    <w:p w14:paraId="73AE6CF1" w14:textId="330F0702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Holm KG, </w:t>
      </w:r>
      <w:proofErr w:type="spellStart"/>
      <w:r w:rsidRPr="001D013F">
        <w:t>Clemensen</w:t>
      </w:r>
      <w:proofErr w:type="spellEnd"/>
      <w:r w:rsidRPr="001D013F">
        <w:t xml:space="preserve"> J, </w:t>
      </w:r>
      <w:proofErr w:type="spellStart"/>
      <w:r w:rsidRPr="001D013F">
        <w:t>Brødsgaard</w:t>
      </w:r>
      <w:proofErr w:type="spellEnd"/>
      <w:r w:rsidRPr="001D013F">
        <w:t xml:space="preserve"> A, Smith AC, </w:t>
      </w:r>
      <w:proofErr w:type="spellStart"/>
      <w:r w:rsidRPr="001D013F">
        <w:t>Maastrup</w:t>
      </w:r>
      <w:proofErr w:type="spellEnd"/>
      <w:r w:rsidRPr="001D013F">
        <w:t xml:space="preserve"> R, </w:t>
      </w:r>
      <w:proofErr w:type="spellStart"/>
      <w:r w:rsidRPr="001D013F">
        <w:t>Zachariassen</w:t>
      </w:r>
      <w:proofErr w:type="spellEnd"/>
      <w:r w:rsidRPr="001D013F">
        <w:t xml:space="preserve"> G. </w:t>
      </w:r>
      <w:proofErr w:type="gramStart"/>
      <w:r w:rsidRPr="001D013F">
        <w:t>Growth</w:t>
      </w:r>
      <w:proofErr w:type="gramEnd"/>
      <w:r w:rsidRPr="001D013F">
        <w:t xml:space="preserve"> and breastfeeding of preterm infants receiving neonatal tele-homecare compared to hospital-based care. </w:t>
      </w:r>
      <w:r w:rsidRPr="00EB7898">
        <w:rPr>
          <w:i/>
          <w:iCs/>
        </w:rPr>
        <w:t>J Neonatal Perinat Med</w:t>
      </w:r>
      <w:r w:rsidRPr="001D013F">
        <w:t>. 2019;12(3):277</w:t>
      </w:r>
      <w:r>
        <w:t>–</w:t>
      </w:r>
      <w:r w:rsidRPr="001D013F">
        <w:t>284</w:t>
      </w:r>
    </w:p>
    <w:p w14:paraId="0596465A" w14:textId="628CB89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Hägi</w:t>
      </w:r>
      <w:proofErr w:type="spellEnd"/>
      <w:r w:rsidRPr="001D013F">
        <w:t xml:space="preserve">-Pedersen M-B, </w:t>
      </w:r>
      <w:proofErr w:type="spellStart"/>
      <w:r w:rsidRPr="001D013F">
        <w:t>Norlyk</w:t>
      </w:r>
      <w:proofErr w:type="spellEnd"/>
      <w:r w:rsidRPr="001D013F">
        <w:t xml:space="preserve"> A, Dessau R, </w:t>
      </w:r>
      <w:proofErr w:type="spellStart"/>
      <w:r w:rsidRPr="001D013F">
        <w:t>Stanchev</w:t>
      </w:r>
      <w:proofErr w:type="spellEnd"/>
      <w:r w:rsidRPr="001D013F">
        <w:t xml:space="preserve"> H, </w:t>
      </w:r>
      <w:proofErr w:type="spellStart"/>
      <w:r w:rsidRPr="001D013F">
        <w:t>Kronborg</w:t>
      </w:r>
      <w:proofErr w:type="spellEnd"/>
      <w:r w:rsidRPr="001D013F">
        <w:t xml:space="preserve"> H. </w:t>
      </w:r>
      <w:proofErr w:type="spellStart"/>
      <w:r w:rsidRPr="001D013F">
        <w:t>Multicentre</w:t>
      </w:r>
      <w:proofErr w:type="spellEnd"/>
      <w:r w:rsidRPr="001D013F">
        <w:t xml:space="preserve"> </w:t>
      </w:r>
      <w:proofErr w:type="spellStart"/>
      <w:r w:rsidRPr="001D013F">
        <w:t>randomised</w:t>
      </w:r>
      <w:proofErr w:type="spellEnd"/>
      <w:r w:rsidRPr="001D013F">
        <w:t xml:space="preserve"> study of the effect and experience of an early </w:t>
      </w:r>
      <w:proofErr w:type="spellStart"/>
      <w:r w:rsidRPr="001D013F">
        <w:t>inhome</w:t>
      </w:r>
      <w:proofErr w:type="spellEnd"/>
      <w:r w:rsidRPr="001D013F">
        <w:t xml:space="preserve"> </w:t>
      </w:r>
      <w:proofErr w:type="spellStart"/>
      <w:r w:rsidRPr="001D013F">
        <w:t>programme</w:t>
      </w:r>
      <w:proofErr w:type="spellEnd"/>
      <w:r w:rsidRPr="001D013F">
        <w:t xml:space="preserve"> (</w:t>
      </w:r>
      <w:proofErr w:type="spellStart"/>
      <w:r w:rsidRPr="001D013F">
        <w:t>PreHomeCare</w:t>
      </w:r>
      <w:proofErr w:type="spellEnd"/>
      <w:r w:rsidRPr="001D013F">
        <w:t xml:space="preserve">) for preterm infants using </w:t>
      </w:r>
      <w:r w:rsidRPr="001D013F">
        <w:lastRenderedPageBreak/>
        <w:t>video consultation and smartphone applications compared with in</w:t>
      </w:r>
      <w:r>
        <w:t xml:space="preserve"> </w:t>
      </w:r>
      <w:r w:rsidRPr="001D013F">
        <w:t xml:space="preserve">hospital consultations: protocol of the </w:t>
      </w:r>
      <w:proofErr w:type="spellStart"/>
      <w:r w:rsidRPr="001D013F">
        <w:t>PreHomeCare</w:t>
      </w:r>
      <w:proofErr w:type="spellEnd"/>
      <w:r w:rsidRPr="001D013F">
        <w:t xml:space="preserve"> study. </w:t>
      </w:r>
      <w:r w:rsidRPr="00EB7898">
        <w:rPr>
          <w:i/>
          <w:iCs/>
        </w:rPr>
        <w:t>BMJ Open</w:t>
      </w:r>
      <w:r w:rsidRPr="001D013F">
        <w:t>. 2017;7(3</w:t>
      </w:r>
      <w:proofErr w:type="gramStart"/>
      <w:r w:rsidRPr="001D013F">
        <w:t>):e</w:t>
      </w:r>
      <w:proofErr w:type="gramEnd"/>
      <w:r w:rsidRPr="001D013F">
        <w:t>013024</w:t>
      </w:r>
    </w:p>
    <w:p w14:paraId="71159447" w14:textId="4B930D3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Garne</w:t>
      </w:r>
      <w:proofErr w:type="spellEnd"/>
      <w:r w:rsidRPr="001D013F">
        <w:t xml:space="preserve"> Holm K, </w:t>
      </w:r>
      <w:proofErr w:type="spellStart"/>
      <w:r w:rsidRPr="001D013F">
        <w:t>Brødsgaard</w:t>
      </w:r>
      <w:proofErr w:type="spellEnd"/>
      <w:r w:rsidRPr="001D013F">
        <w:t xml:space="preserve"> A, </w:t>
      </w:r>
      <w:proofErr w:type="spellStart"/>
      <w:r w:rsidRPr="001D013F">
        <w:t>Zachariassen</w:t>
      </w:r>
      <w:proofErr w:type="spellEnd"/>
      <w:r w:rsidRPr="001D013F">
        <w:t xml:space="preserve"> G, Smith AC, </w:t>
      </w:r>
      <w:proofErr w:type="spellStart"/>
      <w:r w:rsidRPr="001D013F">
        <w:t>Clemensen</w:t>
      </w:r>
      <w:proofErr w:type="spellEnd"/>
      <w:r w:rsidRPr="001D013F">
        <w:t xml:space="preserve"> J. Parent perspectives of neonatal tele-homecare: </w:t>
      </w:r>
      <w:r>
        <w:t>a</w:t>
      </w:r>
      <w:r w:rsidRPr="001D013F">
        <w:t xml:space="preserve"> qualitative study.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Telemed</w:t>
      </w:r>
      <w:proofErr w:type="spellEnd"/>
      <w:r w:rsidRPr="00EB7898">
        <w:rPr>
          <w:i/>
          <w:iCs/>
        </w:rPr>
        <w:t xml:space="preserve"> Telecare</w:t>
      </w:r>
      <w:r w:rsidRPr="001D013F">
        <w:t>. 2019;25(4):221</w:t>
      </w:r>
      <w:r>
        <w:t>–</w:t>
      </w:r>
      <w:r w:rsidRPr="001D013F">
        <w:t>229</w:t>
      </w:r>
    </w:p>
    <w:p w14:paraId="63E660BA" w14:textId="636DE67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Robinson A, </w:t>
      </w:r>
      <w:proofErr w:type="spellStart"/>
      <w:r w:rsidRPr="001D013F">
        <w:t>Lauckner</w:t>
      </w:r>
      <w:proofErr w:type="spellEnd"/>
      <w:r w:rsidRPr="001D013F">
        <w:t xml:space="preserve"> C, Davis M, Hall J, Anderson AK. Facebook support for breastfeeding mothers: </w:t>
      </w:r>
      <w:r>
        <w:t>a</w:t>
      </w:r>
      <w:r w:rsidRPr="001D013F">
        <w:t xml:space="preserve"> comparison to offline support and associations with breastfeeding outcomes. </w:t>
      </w:r>
      <w:r>
        <w:t>–</w:t>
      </w:r>
      <w:r w:rsidRPr="001D013F">
        <w:t xml:space="preserve">. </w:t>
      </w:r>
      <w:proofErr w:type="gramStart"/>
      <w:r w:rsidRPr="001D013F">
        <w:t>2019;5:2055207619853397</w:t>
      </w:r>
      <w:proofErr w:type="gramEnd"/>
    </w:p>
    <w:p w14:paraId="1819A001" w14:textId="0A2E6E7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Robinson A, Davis M, Hall J, </w:t>
      </w:r>
      <w:proofErr w:type="spellStart"/>
      <w:r w:rsidRPr="001D013F">
        <w:t>Lauckner</w:t>
      </w:r>
      <w:proofErr w:type="spellEnd"/>
      <w:r w:rsidRPr="001D013F">
        <w:t xml:space="preserve"> C, Anderson AK. It takes an e-village: </w:t>
      </w:r>
      <w:r>
        <w:t>s</w:t>
      </w:r>
      <w:r w:rsidRPr="001D013F">
        <w:t xml:space="preserve">upporting African American mothers in sustaining breastfeeding through Facebook communities. </w:t>
      </w:r>
      <w:r w:rsidRPr="00EB7898">
        <w:rPr>
          <w:i/>
          <w:iCs/>
        </w:rPr>
        <w:t xml:space="preserve">J Hum </w:t>
      </w:r>
      <w:proofErr w:type="spellStart"/>
      <w:r w:rsidRPr="00EB7898">
        <w:rPr>
          <w:i/>
          <w:iCs/>
        </w:rPr>
        <w:t>Lact</w:t>
      </w:r>
      <w:proofErr w:type="spellEnd"/>
      <w:r w:rsidRPr="001D013F">
        <w:t>. 2019;35(3):569</w:t>
      </w:r>
      <w:r>
        <w:t>–</w:t>
      </w:r>
      <w:r w:rsidRPr="001D013F">
        <w:t>582</w:t>
      </w:r>
    </w:p>
    <w:p w14:paraId="2A1C1770" w14:textId="3251B1C3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Niela-Vilén</w:t>
      </w:r>
      <w:proofErr w:type="spellEnd"/>
      <w:r w:rsidRPr="001D013F">
        <w:t xml:space="preserve"> H, </w:t>
      </w:r>
      <w:proofErr w:type="spellStart"/>
      <w:r w:rsidRPr="001D013F">
        <w:t>Axelin</w:t>
      </w:r>
      <w:proofErr w:type="spellEnd"/>
      <w:r w:rsidRPr="001D013F">
        <w:t xml:space="preserve"> A, </w:t>
      </w:r>
      <w:proofErr w:type="spellStart"/>
      <w:r w:rsidRPr="001D013F">
        <w:t>Melender</w:t>
      </w:r>
      <w:proofErr w:type="spellEnd"/>
      <w:r w:rsidRPr="001D013F">
        <w:t xml:space="preserve"> H-L, </w:t>
      </w:r>
      <w:proofErr w:type="spellStart"/>
      <w:r w:rsidRPr="001D013F">
        <w:t>Löyttyniemi</w:t>
      </w:r>
      <w:proofErr w:type="spellEnd"/>
      <w:r w:rsidRPr="001D013F">
        <w:t xml:space="preserve"> E, </w:t>
      </w:r>
      <w:proofErr w:type="spellStart"/>
      <w:r w:rsidRPr="001D013F">
        <w:t>Salanterä</w:t>
      </w:r>
      <w:proofErr w:type="spellEnd"/>
      <w:r w:rsidRPr="001D013F">
        <w:t xml:space="preserve"> S. Breastfeeding preterm infants - a randomized controlled trial of the effectiveness of an Internet-based peer-support group. </w:t>
      </w:r>
      <w:r w:rsidRPr="00EB7898">
        <w:rPr>
          <w:i/>
          <w:iCs/>
        </w:rPr>
        <w:t xml:space="preserve">J Adv </w:t>
      </w:r>
      <w:proofErr w:type="spellStart"/>
      <w:r w:rsidRPr="00EB7898">
        <w:rPr>
          <w:i/>
          <w:iCs/>
        </w:rPr>
        <w:t>Nurs</w:t>
      </w:r>
      <w:proofErr w:type="spellEnd"/>
      <w:r w:rsidRPr="001D013F">
        <w:t>. 2016;72(10):2495</w:t>
      </w:r>
      <w:r>
        <w:t>–</w:t>
      </w:r>
      <w:r w:rsidRPr="001D013F">
        <w:t>2507</w:t>
      </w:r>
    </w:p>
    <w:p w14:paraId="12BBEBB2" w14:textId="031D6574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Niela-Vilén</w:t>
      </w:r>
      <w:proofErr w:type="spellEnd"/>
      <w:r w:rsidRPr="001D013F">
        <w:t xml:space="preserve"> H, </w:t>
      </w:r>
      <w:proofErr w:type="spellStart"/>
      <w:r w:rsidRPr="001D013F">
        <w:t>Axelin</w:t>
      </w:r>
      <w:proofErr w:type="spellEnd"/>
      <w:r w:rsidRPr="001D013F">
        <w:t xml:space="preserve"> A, </w:t>
      </w:r>
      <w:proofErr w:type="spellStart"/>
      <w:r w:rsidRPr="001D013F">
        <w:t>Melender</w:t>
      </w:r>
      <w:proofErr w:type="spellEnd"/>
      <w:r w:rsidRPr="001D013F">
        <w:t xml:space="preserve"> H-L, </w:t>
      </w:r>
      <w:proofErr w:type="spellStart"/>
      <w:r w:rsidRPr="001D013F">
        <w:t>Salanterä</w:t>
      </w:r>
      <w:proofErr w:type="spellEnd"/>
      <w:r w:rsidRPr="001D013F">
        <w:t xml:space="preserve"> S. Aiming to be a breastfeeding mother in a neonatal intensive care unit and at home: a thematic analysis of peer-support group discussion in social media. </w:t>
      </w:r>
      <w:proofErr w:type="spellStart"/>
      <w:r w:rsidRPr="00EB7898">
        <w:rPr>
          <w:i/>
          <w:iCs/>
        </w:rPr>
        <w:t>Matern</w:t>
      </w:r>
      <w:proofErr w:type="spellEnd"/>
      <w:r w:rsidRPr="00EB7898">
        <w:rPr>
          <w:i/>
          <w:iCs/>
        </w:rPr>
        <w:t xml:space="preserve"> Child </w:t>
      </w:r>
      <w:proofErr w:type="spellStart"/>
      <w:r w:rsidRPr="00EB7898">
        <w:rPr>
          <w:i/>
          <w:iCs/>
        </w:rPr>
        <w:t>Nutr</w:t>
      </w:r>
      <w:proofErr w:type="spellEnd"/>
      <w:r w:rsidRPr="001D013F">
        <w:t>. 2015;11(4):712</w:t>
      </w:r>
      <w:r>
        <w:t>–</w:t>
      </w:r>
      <w:r w:rsidRPr="001D013F">
        <w:t>726</w:t>
      </w:r>
    </w:p>
    <w:p w14:paraId="4E4DD47E" w14:textId="19C9BDE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Litt JS, Agni M, Jacobi-</w:t>
      </w:r>
      <w:proofErr w:type="spellStart"/>
      <w:r w:rsidRPr="001D013F">
        <w:t>Polishook</w:t>
      </w:r>
      <w:proofErr w:type="spellEnd"/>
      <w:r w:rsidRPr="001D013F">
        <w:t xml:space="preserve"> T, et al. The acceptability and feasibility of emailed parent questionnaires for medical and developmental surveillance after NICU discharge.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Perinatol</w:t>
      </w:r>
      <w:proofErr w:type="spellEnd"/>
      <w:r w:rsidRPr="001D013F">
        <w:t>. 2018;38(4):392</w:t>
      </w:r>
      <w:r>
        <w:t>–</w:t>
      </w:r>
      <w:r w:rsidRPr="001D013F">
        <w:t>401</w:t>
      </w:r>
    </w:p>
    <w:p w14:paraId="1ADDD4E5" w14:textId="6B87FC12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Lakshmanan A, Santo E, McCormick MC, Belfort M. Parental </w:t>
      </w:r>
      <w:proofErr w:type="gramStart"/>
      <w:r w:rsidRPr="001D013F">
        <w:t>preference</w:t>
      </w:r>
      <w:proofErr w:type="gramEnd"/>
      <w:r w:rsidRPr="001D013F">
        <w:t xml:space="preserve"> and ability to participate in web-based developmental screening and surveillance: preliminary evidence for preterm infants after NICU discharge. </w:t>
      </w:r>
      <w:r w:rsidRPr="00EB7898">
        <w:rPr>
          <w:i/>
          <w:iCs/>
        </w:rPr>
        <w:t xml:space="preserve">Clin </w:t>
      </w:r>
      <w:proofErr w:type="spellStart"/>
      <w:r w:rsidRPr="00EB7898">
        <w:rPr>
          <w:i/>
          <w:iCs/>
        </w:rPr>
        <w:t>Pediatr</w:t>
      </w:r>
      <w:proofErr w:type="spellEnd"/>
      <w:r w:rsidRPr="00EB7898">
        <w:rPr>
          <w:i/>
          <w:iCs/>
        </w:rPr>
        <w:t xml:space="preserve"> (Phila)</w:t>
      </w:r>
      <w:r w:rsidRPr="001D013F">
        <w:t>. 2014;53(13):1278</w:t>
      </w:r>
      <w:r>
        <w:t>–</w:t>
      </w:r>
      <w:r w:rsidRPr="001D013F">
        <w:t>1284</w:t>
      </w:r>
    </w:p>
    <w:p w14:paraId="4B3D16FA" w14:textId="5ADE409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Kim HN, Wyatt TH, Li X, Gaylord M. Use of social media by fathers of premature infants. </w:t>
      </w:r>
      <w:r w:rsidRPr="00EB7898">
        <w:rPr>
          <w:i/>
          <w:iCs/>
        </w:rPr>
        <w:t xml:space="preserve">J Perinat Neonatal </w:t>
      </w:r>
      <w:proofErr w:type="spellStart"/>
      <w:r w:rsidRPr="00EB7898">
        <w:rPr>
          <w:i/>
          <w:iCs/>
        </w:rPr>
        <w:t>Nurs</w:t>
      </w:r>
      <w:proofErr w:type="spellEnd"/>
      <w:r w:rsidRPr="001D013F">
        <w:t>. 2016;30(4):359</w:t>
      </w:r>
      <w:r>
        <w:t>–</w:t>
      </w:r>
      <w:r w:rsidRPr="001D013F">
        <w:t>366</w:t>
      </w:r>
    </w:p>
    <w:p w14:paraId="01A76119" w14:textId="1B61AD77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Johnston DC, Mathews WD, Maus A, Gustafson DH. Using smartphones to improve treatment retention among impoverished substance-using Appalachian women: </w:t>
      </w:r>
      <w:r>
        <w:t>a</w:t>
      </w:r>
      <w:r w:rsidRPr="001D013F">
        <w:t xml:space="preserve"> naturalistic study. </w:t>
      </w:r>
      <w:proofErr w:type="spellStart"/>
      <w:r w:rsidRPr="00EB7898">
        <w:rPr>
          <w:i/>
          <w:iCs/>
        </w:rPr>
        <w:t>Subst</w:t>
      </w:r>
      <w:proofErr w:type="spellEnd"/>
      <w:r w:rsidRPr="00EB7898">
        <w:rPr>
          <w:i/>
          <w:iCs/>
        </w:rPr>
        <w:t xml:space="preserve"> Abuse Res Treat</w:t>
      </w:r>
      <w:r w:rsidRPr="001D013F">
        <w:t xml:space="preserve">. </w:t>
      </w:r>
      <w:proofErr w:type="gramStart"/>
      <w:r w:rsidRPr="001D013F">
        <w:t>2019;13:1178221819861377</w:t>
      </w:r>
      <w:proofErr w:type="gramEnd"/>
    </w:p>
    <w:p w14:paraId="0D449B41" w14:textId="0D486D53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Gabbert TI, </w:t>
      </w:r>
      <w:proofErr w:type="spellStart"/>
      <w:r w:rsidRPr="001D013F">
        <w:t>Metze</w:t>
      </w:r>
      <w:proofErr w:type="spellEnd"/>
      <w:r w:rsidRPr="001D013F">
        <w:t xml:space="preserve"> B, </w:t>
      </w:r>
      <w:proofErr w:type="spellStart"/>
      <w:r w:rsidRPr="001D013F">
        <w:t>Bührer</w:t>
      </w:r>
      <w:proofErr w:type="spellEnd"/>
      <w:r w:rsidRPr="001D013F">
        <w:t xml:space="preserve"> C, Garten L. Use of social networking sites by parents of very low birth weight infants: experiences and the potential of a dedicated site. </w:t>
      </w:r>
      <w:r w:rsidRPr="00EB7898">
        <w:rPr>
          <w:i/>
          <w:iCs/>
        </w:rPr>
        <w:t xml:space="preserve">Eur J </w:t>
      </w:r>
      <w:proofErr w:type="spellStart"/>
      <w:r w:rsidRPr="00EB7898">
        <w:rPr>
          <w:i/>
          <w:iCs/>
        </w:rPr>
        <w:t>Pediatr</w:t>
      </w:r>
      <w:proofErr w:type="spellEnd"/>
      <w:r w:rsidRPr="001D013F">
        <w:t>. 2013;172(12):1671</w:t>
      </w:r>
      <w:r>
        <w:t>–</w:t>
      </w:r>
      <w:r w:rsidRPr="001D013F">
        <w:t>1677</w:t>
      </w:r>
    </w:p>
    <w:p w14:paraId="1C04D5AC" w14:textId="2E96BA62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Dol J, </w:t>
      </w:r>
      <w:proofErr w:type="spellStart"/>
      <w:r w:rsidRPr="001D013F">
        <w:t>Delahunty</w:t>
      </w:r>
      <w:proofErr w:type="spellEnd"/>
      <w:r w:rsidRPr="001D013F">
        <w:t xml:space="preserve">-Pike A, Anwar </w:t>
      </w:r>
      <w:proofErr w:type="spellStart"/>
      <w:r w:rsidRPr="001D013F">
        <w:t>Siani</w:t>
      </w:r>
      <w:proofErr w:type="spellEnd"/>
      <w:r w:rsidRPr="001D013F">
        <w:t xml:space="preserve"> S, Campbell-Yeo M. eHealth interventions for parents in neonatal intensive care units: a systematic review. </w:t>
      </w:r>
      <w:r w:rsidRPr="00EB7898">
        <w:rPr>
          <w:i/>
          <w:iCs/>
        </w:rPr>
        <w:t>JBI Database Syst Rev Implement Rep</w:t>
      </w:r>
      <w:r w:rsidRPr="001D013F">
        <w:t>. 2017;15(12):2981</w:t>
      </w:r>
      <w:r>
        <w:t>–</w:t>
      </w:r>
      <w:r w:rsidRPr="001D013F">
        <w:t>3005</w:t>
      </w:r>
    </w:p>
    <w:p w14:paraId="0085EA4A" w14:textId="6779020A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Zallman</w:t>
      </w:r>
      <w:proofErr w:type="spellEnd"/>
      <w:r w:rsidRPr="001D013F">
        <w:t xml:space="preserve"> L, </w:t>
      </w:r>
      <w:proofErr w:type="spellStart"/>
      <w:r w:rsidRPr="001D013F">
        <w:t>Bearse</w:t>
      </w:r>
      <w:proofErr w:type="spellEnd"/>
      <w:r w:rsidRPr="001D013F">
        <w:t xml:space="preserve"> A, West C, </w:t>
      </w:r>
      <w:proofErr w:type="spellStart"/>
      <w:r w:rsidRPr="001D013F">
        <w:t>Bor</w:t>
      </w:r>
      <w:proofErr w:type="spellEnd"/>
      <w:r w:rsidRPr="001D013F">
        <w:t xml:space="preserve"> D, McCormick D. Patient preferences and access to text messaging for health care reminders in a safety-net setting. </w:t>
      </w:r>
      <w:r w:rsidRPr="00EB7898">
        <w:rPr>
          <w:i/>
          <w:iCs/>
        </w:rPr>
        <w:t>Inform Health Soc Care</w:t>
      </w:r>
      <w:r w:rsidRPr="001D013F">
        <w:t>. 2017;42(1):32</w:t>
      </w:r>
      <w:r>
        <w:t>–</w:t>
      </w:r>
      <w:r w:rsidRPr="001D013F">
        <w:t>42</w:t>
      </w:r>
    </w:p>
    <w:p w14:paraId="2C79B698" w14:textId="28501B9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Perron NJ, Dao MD, </w:t>
      </w:r>
      <w:proofErr w:type="spellStart"/>
      <w:r w:rsidRPr="001D013F">
        <w:t>Kossovsky</w:t>
      </w:r>
      <w:proofErr w:type="spellEnd"/>
      <w:r w:rsidRPr="001D013F">
        <w:t xml:space="preserve"> MP, et al. Reduction of missed appointments at an urban primary care clinic: a </w:t>
      </w:r>
      <w:proofErr w:type="spellStart"/>
      <w:r w:rsidRPr="001D013F">
        <w:t>randomised</w:t>
      </w:r>
      <w:proofErr w:type="spellEnd"/>
      <w:r w:rsidRPr="001D013F">
        <w:t xml:space="preserve"> controlled study. </w:t>
      </w:r>
      <w:r w:rsidRPr="00EB7898">
        <w:rPr>
          <w:i/>
          <w:iCs/>
        </w:rPr>
        <w:t xml:space="preserve">BMC Fam </w:t>
      </w:r>
      <w:proofErr w:type="spellStart"/>
      <w:r w:rsidRPr="00EB7898">
        <w:rPr>
          <w:i/>
          <w:iCs/>
        </w:rPr>
        <w:t>Pract</w:t>
      </w:r>
      <w:proofErr w:type="spellEnd"/>
      <w:r w:rsidRPr="001D013F">
        <w:t xml:space="preserve">. </w:t>
      </w:r>
      <w:proofErr w:type="gramStart"/>
      <w:r w:rsidRPr="001D013F">
        <w:t>2010;11:79</w:t>
      </w:r>
      <w:proofErr w:type="gramEnd"/>
    </w:p>
    <w:p w14:paraId="545EACAA" w14:textId="243E4CAA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Patel S, </w:t>
      </w:r>
      <w:proofErr w:type="spellStart"/>
      <w:r w:rsidRPr="001D013F">
        <w:t>Hemmige</w:t>
      </w:r>
      <w:proofErr w:type="spellEnd"/>
      <w:r w:rsidRPr="001D013F">
        <w:t xml:space="preserve"> V, Street RL, Viswanath K, Arya M. Activating racial and ethnic minorities to engage in preventive health: Patient preferences for health reminders. </w:t>
      </w:r>
      <w:r w:rsidRPr="00EB7898">
        <w:rPr>
          <w:i/>
          <w:iCs/>
        </w:rPr>
        <w:t xml:space="preserve">J </w:t>
      </w:r>
      <w:proofErr w:type="spellStart"/>
      <w:r w:rsidRPr="00EB7898">
        <w:rPr>
          <w:i/>
          <w:iCs/>
        </w:rPr>
        <w:t>Particip</w:t>
      </w:r>
      <w:proofErr w:type="spellEnd"/>
      <w:r w:rsidRPr="00EB7898">
        <w:rPr>
          <w:i/>
          <w:iCs/>
        </w:rPr>
        <w:t xml:space="preserve"> Med</w:t>
      </w:r>
      <w:r w:rsidRPr="001D013F">
        <w:t>. 2017;</w:t>
      </w:r>
      <w:proofErr w:type="gramStart"/>
      <w:r w:rsidRPr="001D013F">
        <w:t>9</w:t>
      </w:r>
      <w:r>
        <w:t>:e</w:t>
      </w:r>
      <w:proofErr w:type="gramEnd"/>
      <w:r>
        <w:t>8</w:t>
      </w:r>
      <w:r w:rsidRPr="001D013F">
        <w:t>.</w:t>
      </w:r>
    </w:p>
    <w:p w14:paraId="4F12CF5F" w14:textId="050FD813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Jacobson Vann JC, Jacobson RM, Coyne-Beasley T, </w:t>
      </w:r>
      <w:proofErr w:type="spellStart"/>
      <w:r w:rsidRPr="001D013F">
        <w:t>Asafu</w:t>
      </w:r>
      <w:proofErr w:type="spellEnd"/>
      <w:r w:rsidRPr="001D013F">
        <w:t xml:space="preserve">-Adjei JK, </w:t>
      </w:r>
      <w:proofErr w:type="spellStart"/>
      <w:r w:rsidRPr="001D013F">
        <w:t>Szilagyi</w:t>
      </w:r>
      <w:proofErr w:type="spellEnd"/>
      <w:r w:rsidRPr="001D013F">
        <w:t xml:space="preserve"> PG. Patient reminder and recall interventions to improve immunization rates. </w:t>
      </w:r>
      <w:r w:rsidRPr="00EB7898">
        <w:rPr>
          <w:i/>
          <w:iCs/>
        </w:rPr>
        <w:t>Cochrane Database Syst Rev</w:t>
      </w:r>
      <w:r w:rsidRPr="001D013F">
        <w:t>. 2018;</w:t>
      </w:r>
      <w:r>
        <w:t>1(</w:t>
      </w:r>
      <w:r w:rsidRPr="001D013F">
        <w:t>1</w:t>
      </w:r>
      <w:r>
        <w:t>)</w:t>
      </w:r>
      <w:r w:rsidRPr="001D013F">
        <w:t>:CD003941</w:t>
      </w:r>
    </w:p>
    <w:p w14:paraId="1FAA52A5" w14:textId="4BE0FAD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Earls MF, </w:t>
      </w:r>
      <w:proofErr w:type="spellStart"/>
      <w:r w:rsidRPr="001D013F">
        <w:t>Yogman</w:t>
      </w:r>
      <w:proofErr w:type="spellEnd"/>
      <w:r w:rsidRPr="001D013F">
        <w:t xml:space="preserve"> MW, Mattson G, Rafferty J, Committee on Psychosocial Aspects of </w:t>
      </w:r>
      <w:proofErr w:type="gramStart"/>
      <w:r w:rsidRPr="001D013F">
        <w:t>Child</w:t>
      </w:r>
      <w:proofErr w:type="gramEnd"/>
      <w:r w:rsidRPr="001D013F">
        <w:t xml:space="preserve"> and Family Health. Incorporating recognition and management of perinatal depression Into pediatric practice. </w:t>
      </w:r>
      <w:r w:rsidRPr="00EB7898">
        <w:rPr>
          <w:i/>
          <w:iCs/>
        </w:rPr>
        <w:t>Pediatrics</w:t>
      </w:r>
      <w:r w:rsidRPr="001D013F">
        <w:t>. 2019;143(1</w:t>
      </w:r>
      <w:proofErr w:type="gramStart"/>
      <w:r>
        <w:t>):e</w:t>
      </w:r>
      <w:proofErr w:type="gramEnd"/>
      <w:r>
        <w:t>20183259</w:t>
      </w:r>
    </w:p>
    <w:p w14:paraId="64314354" w14:textId="1104BF56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Verbiest</w:t>
      </w:r>
      <w:proofErr w:type="spellEnd"/>
      <w:r w:rsidRPr="001D013F">
        <w:t xml:space="preserve"> S, McClain E, </w:t>
      </w:r>
      <w:proofErr w:type="spellStart"/>
      <w:r w:rsidRPr="001D013F">
        <w:t>Stuebe</w:t>
      </w:r>
      <w:proofErr w:type="spellEnd"/>
      <w:r w:rsidRPr="001D013F">
        <w:t xml:space="preserve"> A, Menard MK. Postpartum health services requested by mothers with newborns receiving intensive care. </w:t>
      </w:r>
      <w:proofErr w:type="spellStart"/>
      <w:r w:rsidRPr="00EB7898">
        <w:rPr>
          <w:i/>
          <w:iCs/>
        </w:rPr>
        <w:t>Matern</w:t>
      </w:r>
      <w:proofErr w:type="spellEnd"/>
      <w:r w:rsidRPr="00EB7898">
        <w:rPr>
          <w:i/>
          <w:iCs/>
        </w:rPr>
        <w:t xml:space="preserve"> Child Health J</w:t>
      </w:r>
      <w:r w:rsidRPr="001D013F">
        <w:t>. 2016;20(</w:t>
      </w:r>
      <w:r>
        <w:t>s</w:t>
      </w:r>
      <w:r w:rsidRPr="001D013F">
        <w:t>uppl 1):125</w:t>
      </w:r>
      <w:r>
        <w:t>–</w:t>
      </w:r>
      <w:r w:rsidRPr="001D013F">
        <w:t>131</w:t>
      </w:r>
    </w:p>
    <w:p w14:paraId="50F0E0FB" w14:textId="7E2D11E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Rossman B, </w:t>
      </w:r>
      <w:proofErr w:type="spellStart"/>
      <w:r w:rsidRPr="001D013F">
        <w:t>Asiodu</w:t>
      </w:r>
      <w:proofErr w:type="spellEnd"/>
      <w:r w:rsidRPr="001D013F">
        <w:t xml:space="preserve"> I, Hoban R, et al. Priorities for contraception and lactation among breast pump-dependent mothers of premature infants in the neonatal intensive care unit. </w:t>
      </w:r>
      <w:r w:rsidRPr="00850435">
        <w:rPr>
          <w:i/>
          <w:iCs/>
        </w:rPr>
        <w:t>Breastfeed Med</w:t>
      </w:r>
      <w:r w:rsidRPr="001D013F">
        <w:t>. 2019;14(7):448</w:t>
      </w:r>
      <w:r>
        <w:t>–</w:t>
      </w:r>
      <w:r w:rsidRPr="001D013F">
        <w:t>455</w:t>
      </w:r>
    </w:p>
    <w:p w14:paraId="43F3D380" w14:textId="22154FB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Leaverton</w:t>
      </w:r>
      <w:proofErr w:type="spellEnd"/>
      <w:r w:rsidRPr="001D013F">
        <w:t xml:space="preserve"> A, Lopes V, </w:t>
      </w:r>
      <w:proofErr w:type="spellStart"/>
      <w:r w:rsidRPr="001D013F">
        <w:t>Vohr</w:t>
      </w:r>
      <w:proofErr w:type="spellEnd"/>
      <w:r w:rsidRPr="001D013F">
        <w:t xml:space="preserve"> B, Dailey T, Phipps MG, Allen RH. Postpartum contraception needs of women with preterm infants in the neonatal intensive care unit. </w:t>
      </w:r>
      <w:r w:rsidRPr="00850435">
        <w:rPr>
          <w:i/>
          <w:iCs/>
        </w:rPr>
        <w:t xml:space="preserve">J </w:t>
      </w:r>
      <w:proofErr w:type="spellStart"/>
      <w:r w:rsidRPr="00850435">
        <w:rPr>
          <w:i/>
          <w:iCs/>
        </w:rPr>
        <w:t>Perinatol</w:t>
      </w:r>
      <w:proofErr w:type="spellEnd"/>
      <w:r w:rsidRPr="001D013F">
        <w:t>. 2016;36(3):186</w:t>
      </w:r>
      <w:r>
        <w:t>–</w:t>
      </w:r>
      <w:r w:rsidRPr="001D013F">
        <w:t>189</w:t>
      </w:r>
    </w:p>
    <w:p w14:paraId="7C05B8ED" w14:textId="26A1111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Kroelinger</w:t>
      </w:r>
      <w:proofErr w:type="spellEnd"/>
      <w:r w:rsidRPr="001D013F">
        <w:t xml:space="preserve"> CD, Morgan IA, </w:t>
      </w:r>
      <w:proofErr w:type="spellStart"/>
      <w:r w:rsidRPr="001D013F">
        <w:t>DeSisto</w:t>
      </w:r>
      <w:proofErr w:type="spellEnd"/>
      <w:r w:rsidRPr="001D013F">
        <w:t xml:space="preserve"> CL, et al. State-identified implementation strategies to increase uptake of immediate postpartum long-acting reversible contraception policies. </w:t>
      </w:r>
      <w:r w:rsidRPr="00850435">
        <w:rPr>
          <w:i/>
          <w:iCs/>
        </w:rPr>
        <w:t xml:space="preserve">J </w:t>
      </w:r>
      <w:proofErr w:type="spellStart"/>
      <w:r w:rsidRPr="00850435">
        <w:rPr>
          <w:i/>
          <w:iCs/>
        </w:rPr>
        <w:t>Womens</w:t>
      </w:r>
      <w:proofErr w:type="spellEnd"/>
      <w:r w:rsidRPr="00850435">
        <w:rPr>
          <w:i/>
          <w:iCs/>
        </w:rPr>
        <w:t xml:space="preserve"> Health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Larchmt</w:t>
      </w:r>
      <w:proofErr w:type="spellEnd"/>
      <w:r>
        <w:rPr>
          <w:i/>
          <w:iCs/>
        </w:rPr>
        <w:t>)</w:t>
      </w:r>
      <w:r w:rsidRPr="001D013F">
        <w:t>. 2019;28(3):346</w:t>
      </w:r>
      <w:r>
        <w:t>–</w:t>
      </w:r>
      <w:r w:rsidRPr="001D013F">
        <w:t>356</w:t>
      </w:r>
    </w:p>
    <w:p w14:paraId="02945DBA" w14:textId="0C19ED90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Hogue CJ, Menon R, Dunlop AL, Kramer MR. Racial disparities in preterm birth rates and short inter-pregnancy interval: an overview. </w:t>
      </w:r>
      <w:r w:rsidRPr="00C71CF2">
        <w:rPr>
          <w:i/>
          <w:iCs/>
        </w:rPr>
        <w:t xml:space="preserve">Acta </w:t>
      </w:r>
      <w:proofErr w:type="spellStart"/>
      <w:r w:rsidRPr="00C71CF2">
        <w:rPr>
          <w:i/>
          <w:iCs/>
        </w:rPr>
        <w:t>Obstet</w:t>
      </w:r>
      <w:proofErr w:type="spellEnd"/>
      <w:r w:rsidRPr="00C71CF2">
        <w:rPr>
          <w:i/>
          <w:iCs/>
        </w:rPr>
        <w:t xml:space="preserve"> </w:t>
      </w:r>
      <w:proofErr w:type="spellStart"/>
      <w:r w:rsidRPr="00C71CF2">
        <w:rPr>
          <w:i/>
          <w:iCs/>
        </w:rPr>
        <w:t>Gynecol</w:t>
      </w:r>
      <w:proofErr w:type="spellEnd"/>
      <w:r w:rsidRPr="00C71CF2">
        <w:rPr>
          <w:i/>
          <w:iCs/>
        </w:rPr>
        <w:t xml:space="preserve"> Scand</w:t>
      </w:r>
      <w:r w:rsidRPr="001D013F">
        <w:t>. 2011;90(12):1317</w:t>
      </w:r>
      <w:r>
        <w:t>–</w:t>
      </w:r>
      <w:r w:rsidRPr="001D013F">
        <w:t>1324</w:t>
      </w:r>
    </w:p>
    <w:p w14:paraId="10DC6557" w14:textId="59BB5BFE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Okoroh</w:t>
      </w:r>
      <w:proofErr w:type="spellEnd"/>
      <w:r w:rsidRPr="001D013F">
        <w:t xml:space="preserve"> EM, Kane DJ, Gee RE, et al. Policy change is not enough: engaging provider champions on immediate postpartum contraception. </w:t>
      </w:r>
      <w:r w:rsidRPr="00C71CF2">
        <w:rPr>
          <w:i/>
          <w:iCs/>
        </w:rPr>
        <w:t xml:space="preserve">Am J </w:t>
      </w:r>
      <w:proofErr w:type="spellStart"/>
      <w:r w:rsidRPr="00C71CF2">
        <w:rPr>
          <w:i/>
          <w:iCs/>
        </w:rPr>
        <w:t>Obstet</w:t>
      </w:r>
      <w:proofErr w:type="spellEnd"/>
      <w:r w:rsidRPr="00C71CF2">
        <w:rPr>
          <w:i/>
          <w:iCs/>
        </w:rPr>
        <w:t xml:space="preserve"> Gynecol</w:t>
      </w:r>
      <w:r w:rsidRPr="001D013F">
        <w:t>. 2018;218(6</w:t>
      </w:r>
      <w:proofErr w:type="gramStart"/>
      <w:r w:rsidRPr="001D013F">
        <w:t>):590.e</w:t>
      </w:r>
      <w:proofErr w:type="gramEnd"/>
      <w:r w:rsidRPr="001D013F">
        <w:t>1</w:t>
      </w:r>
      <w:r>
        <w:t>–</w:t>
      </w:r>
      <w:r w:rsidRPr="001D013F">
        <w:t>590.e7</w:t>
      </w:r>
    </w:p>
    <w:p w14:paraId="722879FF" w14:textId="03C4FF56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Infant Health and Development Program. </w:t>
      </w:r>
      <w:r w:rsidRPr="001D013F">
        <w:t>Enhancing the outcomes of low-</w:t>
      </w:r>
      <w:proofErr w:type="gramStart"/>
      <w:r w:rsidRPr="001D013F">
        <w:t>birth-weight</w:t>
      </w:r>
      <w:proofErr w:type="gramEnd"/>
      <w:r w:rsidRPr="001D013F">
        <w:t xml:space="preserve">, premature infants: A multisite, randomized trial. JAMA. </w:t>
      </w:r>
      <w:r w:rsidRPr="00C71CF2">
        <w:rPr>
          <w:i/>
          <w:iCs/>
        </w:rPr>
        <w:t>1990</w:t>
      </w:r>
      <w:r w:rsidRPr="001D013F">
        <w:t>;263(22):3035</w:t>
      </w:r>
      <w:r>
        <w:t>–</w:t>
      </w:r>
      <w:r w:rsidRPr="001D013F">
        <w:t>3042</w:t>
      </w:r>
    </w:p>
    <w:p w14:paraId="15DD0FBE" w14:textId="37843479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Spittle A, Orton J, Anderson PJ, Boyd R, Doyle LW. Early developmental intervention </w:t>
      </w:r>
      <w:proofErr w:type="spellStart"/>
      <w:r w:rsidRPr="001D013F">
        <w:t>programmes</w:t>
      </w:r>
      <w:proofErr w:type="spellEnd"/>
      <w:r w:rsidRPr="001D013F">
        <w:t xml:space="preserve"> provided post hospital discharge to prevent motor and cognitive impairment in preterm infants. </w:t>
      </w:r>
      <w:r w:rsidRPr="00C71CF2">
        <w:rPr>
          <w:i/>
          <w:iCs/>
        </w:rPr>
        <w:t>Cochrane Database Syst Rev</w:t>
      </w:r>
      <w:r w:rsidRPr="001D013F">
        <w:t>. 2015;(11):CD005495</w:t>
      </w:r>
    </w:p>
    <w:p w14:paraId="5CB1B946" w14:textId="65DDE29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McManus B, McCormick MC, Acevedo-Garcia D, Ganz M, Hauser-Cram P. The effect of state early intervention eligibility policy on participation among a cohort of young CSHCN. </w:t>
      </w:r>
      <w:r w:rsidRPr="00C71CF2">
        <w:rPr>
          <w:i/>
          <w:iCs/>
        </w:rPr>
        <w:t>Pediatrics</w:t>
      </w:r>
      <w:r w:rsidRPr="001D013F">
        <w:t>. 2009;124</w:t>
      </w:r>
      <w:r>
        <w:t>(s</w:t>
      </w:r>
      <w:r w:rsidRPr="001D013F">
        <w:t>uppl 4</w:t>
      </w:r>
      <w:proofErr w:type="gramStart"/>
      <w:r>
        <w:t>)</w:t>
      </w:r>
      <w:r w:rsidRPr="001D013F">
        <w:t>:S</w:t>
      </w:r>
      <w:proofErr w:type="gramEnd"/>
      <w:r w:rsidRPr="001D013F">
        <w:t>368</w:t>
      </w:r>
      <w:r>
        <w:t>–S</w:t>
      </w:r>
      <w:r w:rsidRPr="001D013F">
        <w:t>374</w:t>
      </w:r>
    </w:p>
    <w:p w14:paraId="291D96AF" w14:textId="0C49C200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McCormick MC, </w:t>
      </w:r>
      <w:proofErr w:type="spellStart"/>
      <w:r w:rsidRPr="001D013F">
        <w:t>McCarton</w:t>
      </w:r>
      <w:proofErr w:type="spellEnd"/>
      <w:r w:rsidRPr="001D013F">
        <w:t xml:space="preserve"> C, </w:t>
      </w:r>
      <w:proofErr w:type="spellStart"/>
      <w:r w:rsidRPr="001D013F">
        <w:t>Tonascia</w:t>
      </w:r>
      <w:proofErr w:type="spellEnd"/>
      <w:r w:rsidRPr="001D013F">
        <w:t xml:space="preserve"> J, Brooks-Gunn J. Early educational intervention for very low birth weight infants: results from the Infant Health and Development Program. </w:t>
      </w:r>
      <w:r w:rsidRPr="00C71CF2">
        <w:rPr>
          <w:i/>
          <w:iCs/>
        </w:rPr>
        <w:t xml:space="preserve">J </w:t>
      </w:r>
      <w:proofErr w:type="spellStart"/>
      <w:r w:rsidRPr="00C71CF2">
        <w:rPr>
          <w:i/>
          <w:iCs/>
        </w:rPr>
        <w:t>Pediatr</w:t>
      </w:r>
      <w:proofErr w:type="spellEnd"/>
      <w:r w:rsidRPr="001D013F">
        <w:t>. 1993;123(4):527</w:t>
      </w:r>
      <w:r>
        <w:t>–</w:t>
      </w:r>
      <w:r w:rsidRPr="001D013F">
        <w:t>533</w:t>
      </w:r>
    </w:p>
    <w:p w14:paraId="6F2A92C2" w14:textId="04A42E0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Litt JS, </w:t>
      </w:r>
      <w:proofErr w:type="spellStart"/>
      <w:r w:rsidRPr="001D013F">
        <w:t>Glymour</w:t>
      </w:r>
      <w:proofErr w:type="spellEnd"/>
      <w:r w:rsidRPr="001D013F">
        <w:t xml:space="preserve"> MM, Hauser-Cram P, Hehir T, McCormick MC. Early intervention services improve school-age functional outcome among neonatal intensive care unit graduates. </w:t>
      </w:r>
      <w:proofErr w:type="spellStart"/>
      <w:r w:rsidRPr="00C71CF2">
        <w:rPr>
          <w:i/>
          <w:iCs/>
        </w:rPr>
        <w:t>Acad</w:t>
      </w:r>
      <w:proofErr w:type="spellEnd"/>
      <w:r w:rsidRPr="00C71CF2">
        <w:rPr>
          <w:i/>
          <w:iCs/>
        </w:rPr>
        <w:t xml:space="preserve"> </w:t>
      </w:r>
      <w:proofErr w:type="spellStart"/>
      <w:r w:rsidRPr="00C71CF2">
        <w:rPr>
          <w:i/>
          <w:iCs/>
        </w:rPr>
        <w:t>Pediatr</w:t>
      </w:r>
      <w:proofErr w:type="spellEnd"/>
      <w:r w:rsidRPr="001D013F">
        <w:t>. 2018;18(4):468</w:t>
      </w:r>
      <w:r>
        <w:t>–</w:t>
      </w:r>
      <w:r w:rsidRPr="001D013F">
        <w:t>474</w:t>
      </w:r>
    </w:p>
    <w:p w14:paraId="4F4D1EDA" w14:textId="29859217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Peacock-Chambers E, Feinberg E, </w:t>
      </w:r>
      <w:proofErr w:type="spellStart"/>
      <w:r w:rsidRPr="001D013F">
        <w:t>Senn</w:t>
      </w:r>
      <w:proofErr w:type="spellEnd"/>
      <w:r w:rsidRPr="001D013F">
        <w:t xml:space="preserve">-McNally M, et al. Engagement in early intervention services among mothers in recovery from opioid use disorders. </w:t>
      </w:r>
      <w:r w:rsidRPr="00C71CF2">
        <w:rPr>
          <w:i/>
          <w:iCs/>
        </w:rPr>
        <w:t>Pediatrics</w:t>
      </w:r>
      <w:r w:rsidRPr="001D013F">
        <w:t>. 2020;145(1</w:t>
      </w:r>
      <w:proofErr w:type="gramStart"/>
      <w:r w:rsidRPr="001D013F">
        <w:t>):e</w:t>
      </w:r>
      <w:proofErr w:type="gramEnd"/>
      <w:r w:rsidRPr="001D013F">
        <w:t>20191957</w:t>
      </w:r>
    </w:p>
    <w:p w14:paraId="5CA56D22" w14:textId="044238E7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Coker TR, </w:t>
      </w:r>
      <w:proofErr w:type="spellStart"/>
      <w:r w:rsidRPr="001D013F">
        <w:t>Windon</w:t>
      </w:r>
      <w:proofErr w:type="spellEnd"/>
      <w:r w:rsidRPr="001D013F">
        <w:t xml:space="preserve"> A, Moreno C, Schuster MA, Chung PJ. Well-</w:t>
      </w:r>
      <w:proofErr w:type="gramStart"/>
      <w:r w:rsidRPr="001D013F">
        <w:t>child care</w:t>
      </w:r>
      <w:proofErr w:type="gramEnd"/>
      <w:r w:rsidRPr="001D013F">
        <w:t xml:space="preserve"> clinical practice redesign for young children: a systematic review of strategies and tools. </w:t>
      </w:r>
      <w:r w:rsidRPr="00C71CF2">
        <w:rPr>
          <w:i/>
          <w:iCs/>
        </w:rPr>
        <w:t>Pediatrics</w:t>
      </w:r>
      <w:r w:rsidRPr="001D013F">
        <w:t>. 2013;131</w:t>
      </w:r>
      <w:r>
        <w:t>(s</w:t>
      </w:r>
      <w:r w:rsidRPr="001D013F">
        <w:t>uppl 1</w:t>
      </w:r>
      <w:proofErr w:type="gramStart"/>
      <w:r>
        <w:t>)</w:t>
      </w:r>
      <w:r w:rsidRPr="001D013F">
        <w:t>:S</w:t>
      </w:r>
      <w:proofErr w:type="gramEnd"/>
      <w:r w:rsidRPr="001D013F">
        <w:t>5</w:t>
      </w:r>
      <w:r>
        <w:t>–S</w:t>
      </w:r>
      <w:r w:rsidRPr="001D013F">
        <w:t>25</w:t>
      </w:r>
    </w:p>
    <w:p w14:paraId="51588652" w14:textId="7B8DA066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Coker TR, Moreno C, </w:t>
      </w:r>
      <w:proofErr w:type="spellStart"/>
      <w:r w:rsidRPr="001D013F">
        <w:t>Shekelle</w:t>
      </w:r>
      <w:proofErr w:type="spellEnd"/>
      <w:r w:rsidRPr="001D013F">
        <w:t xml:space="preserve"> PG, Schuster MA, Chung PJ. Well-</w:t>
      </w:r>
      <w:proofErr w:type="gramStart"/>
      <w:r w:rsidRPr="001D013F">
        <w:t>child care</w:t>
      </w:r>
      <w:proofErr w:type="gramEnd"/>
      <w:r w:rsidRPr="001D013F">
        <w:t xml:space="preserve"> clinical practice redesign for serving low-income children. Pediatrics. 2014;134(1)</w:t>
      </w:r>
      <w:r>
        <w:t>. Available at: www.pediatrics.org/cgi/content/full/134/1/e229</w:t>
      </w:r>
    </w:p>
    <w:p w14:paraId="4C25D0E1" w14:textId="034F68E3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Upadhya</w:t>
      </w:r>
      <w:proofErr w:type="spellEnd"/>
      <w:r w:rsidRPr="001D013F">
        <w:t xml:space="preserve"> KK, </w:t>
      </w:r>
      <w:proofErr w:type="spellStart"/>
      <w:r w:rsidRPr="001D013F">
        <w:t>Psoter</w:t>
      </w:r>
      <w:proofErr w:type="spellEnd"/>
      <w:r w:rsidRPr="001D013F">
        <w:t xml:space="preserve"> KJ, Connor KA, Mistry KB, Levy DJ, Cheng TL. Cluster randomized trial of a pre/</w:t>
      </w:r>
      <w:proofErr w:type="spellStart"/>
      <w:r w:rsidRPr="001D013F">
        <w:t>interconception</w:t>
      </w:r>
      <w:proofErr w:type="spellEnd"/>
      <w:r w:rsidRPr="001D013F">
        <w:t xml:space="preserve"> health intervention for mothers in pediatric visits. </w:t>
      </w:r>
      <w:proofErr w:type="spellStart"/>
      <w:r w:rsidRPr="00C71CF2">
        <w:rPr>
          <w:i/>
          <w:iCs/>
        </w:rPr>
        <w:t>Acad</w:t>
      </w:r>
      <w:proofErr w:type="spellEnd"/>
      <w:r w:rsidRPr="00C71CF2">
        <w:rPr>
          <w:i/>
          <w:iCs/>
        </w:rPr>
        <w:t xml:space="preserve"> </w:t>
      </w:r>
      <w:proofErr w:type="spellStart"/>
      <w:r w:rsidRPr="00C71CF2">
        <w:rPr>
          <w:i/>
          <w:iCs/>
        </w:rPr>
        <w:t>Pediatr</w:t>
      </w:r>
      <w:proofErr w:type="spellEnd"/>
      <w:r w:rsidRPr="001D013F">
        <w:t>.</w:t>
      </w:r>
      <w:r>
        <w:t xml:space="preserve"> </w:t>
      </w:r>
      <w:r w:rsidRPr="001D013F">
        <w:t xml:space="preserve"> </w:t>
      </w:r>
      <w:r>
        <w:t>2020;20(5):660–669</w:t>
      </w:r>
    </w:p>
    <w:p w14:paraId="61CB2074" w14:textId="18777B73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Williams DR, Costa MV, </w:t>
      </w:r>
      <w:proofErr w:type="spellStart"/>
      <w:r w:rsidRPr="001D013F">
        <w:t>Odunlami</w:t>
      </w:r>
      <w:proofErr w:type="spellEnd"/>
      <w:r w:rsidRPr="001D013F">
        <w:t xml:space="preserve"> AO, Mohammed SA. Moving upstream: how interventions that address the social determinants of health can improve health and reduce disparities. </w:t>
      </w:r>
      <w:r w:rsidRPr="00C71CF2">
        <w:rPr>
          <w:i/>
          <w:iCs/>
        </w:rPr>
        <w:t xml:space="preserve">J Public Health </w:t>
      </w:r>
      <w:proofErr w:type="spellStart"/>
      <w:r w:rsidRPr="00C71CF2">
        <w:rPr>
          <w:i/>
          <w:iCs/>
        </w:rPr>
        <w:t>Manag</w:t>
      </w:r>
      <w:proofErr w:type="spellEnd"/>
      <w:r w:rsidRPr="00C71CF2">
        <w:rPr>
          <w:i/>
          <w:iCs/>
        </w:rPr>
        <w:t xml:space="preserve"> </w:t>
      </w:r>
      <w:proofErr w:type="spellStart"/>
      <w:r w:rsidRPr="00C71CF2">
        <w:rPr>
          <w:i/>
          <w:iCs/>
        </w:rPr>
        <w:t>Pract</w:t>
      </w:r>
      <w:proofErr w:type="spellEnd"/>
      <w:r w:rsidRPr="001D013F">
        <w:t>. 2008;14(</w:t>
      </w:r>
      <w:r>
        <w:t>s</w:t>
      </w:r>
      <w:r w:rsidRPr="001D013F">
        <w:t>uppl</w:t>
      </w:r>
      <w:proofErr w:type="gramStart"/>
      <w:r w:rsidRPr="001D013F">
        <w:t>):S</w:t>
      </w:r>
      <w:proofErr w:type="gramEnd"/>
      <w:r w:rsidRPr="001D013F">
        <w:t>8</w:t>
      </w:r>
      <w:r>
        <w:t>–</w:t>
      </w:r>
      <w:r w:rsidRPr="001D013F">
        <w:t>S17</w:t>
      </w:r>
    </w:p>
    <w:p w14:paraId="48A8DE61" w14:textId="3AC799FC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Zuckerman B, </w:t>
      </w:r>
      <w:proofErr w:type="spellStart"/>
      <w:r w:rsidRPr="001D013F">
        <w:t>Khandekar</w:t>
      </w:r>
      <w:proofErr w:type="spellEnd"/>
      <w:r w:rsidRPr="001D013F">
        <w:t xml:space="preserve"> A. Reach Out and Read: </w:t>
      </w:r>
      <w:proofErr w:type="gramStart"/>
      <w:r w:rsidRPr="001D013F">
        <w:t>evidence based</w:t>
      </w:r>
      <w:proofErr w:type="gramEnd"/>
      <w:r w:rsidRPr="001D013F">
        <w:t xml:space="preserve"> approach to promoting early child development. </w:t>
      </w:r>
      <w:proofErr w:type="spellStart"/>
      <w:r w:rsidRPr="00C71CF2">
        <w:rPr>
          <w:i/>
          <w:iCs/>
        </w:rPr>
        <w:t>Curr</w:t>
      </w:r>
      <w:proofErr w:type="spellEnd"/>
      <w:r w:rsidRPr="00C71CF2">
        <w:rPr>
          <w:i/>
          <w:iCs/>
        </w:rPr>
        <w:t xml:space="preserve"> </w:t>
      </w:r>
      <w:proofErr w:type="spellStart"/>
      <w:r w:rsidRPr="00C71CF2">
        <w:rPr>
          <w:i/>
          <w:iCs/>
        </w:rPr>
        <w:t>Opin</w:t>
      </w:r>
      <w:proofErr w:type="spellEnd"/>
      <w:r w:rsidRPr="00C71CF2">
        <w:rPr>
          <w:i/>
          <w:iCs/>
        </w:rPr>
        <w:t xml:space="preserve"> </w:t>
      </w:r>
      <w:proofErr w:type="spellStart"/>
      <w:r w:rsidRPr="00C71CF2">
        <w:rPr>
          <w:i/>
          <w:iCs/>
        </w:rPr>
        <w:t>Pediatr</w:t>
      </w:r>
      <w:proofErr w:type="spellEnd"/>
      <w:r w:rsidRPr="001D013F">
        <w:t>. 2010;22(4):539</w:t>
      </w:r>
      <w:r>
        <w:t>–</w:t>
      </w:r>
      <w:r w:rsidRPr="001D013F">
        <w:t>544</w:t>
      </w:r>
    </w:p>
    <w:p w14:paraId="1167F9B8" w14:textId="166B33AA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Webb AR, Heller HT, Benson CB, Lahav A. Mother’s voice and heartbeat sounds elicit auditory plasticity in the human brain before full gestation. </w:t>
      </w:r>
      <w:r w:rsidRPr="00C71CF2">
        <w:rPr>
          <w:i/>
          <w:iCs/>
        </w:rPr>
        <w:t xml:space="preserve">Proc Natl </w:t>
      </w:r>
      <w:proofErr w:type="spellStart"/>
      <w:r w:rsidRPr="00C71CF2">
        <w:rPr>
          <w:i/>
          <w:iCs/>
        </w:rPr>
        <w:t>Acad</w:t>
      </w:r>
      <w:proofErr w:type="spellEnd"/>
      <w:r w:rsidRPr="00C71CF2">
        <w:rPr>
          <w:i/>
          <w:iCs/>
        </w:rPr>
        <w:t xml:space="preserve"> Sci U S A</w:t>
      </w:r>
      <w:r w:rsidRPr="001D013F">
        <w:t>. 2015;112(10):3152</w:t>
      </w:r>
      <w:r>
        <w:t>–</w:t>
      </w:r>
      <w:r w:rsidRPr="001D013F">
        <w:t>3157</w:t>
      </w:r>
    </w:p>
    <w:p w14:paraId="5CE3D073" w14:textId="29A9AF7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Levesque BM, Tran A, Levesque E, et al. Implementation of a pilot program of Reach Out and Read</w:t>
      </w:r>
      <w:r>
        <w:t>®</w:t>
      </w:r>
      <w:r w:rsidRPr="001D013F">
        <w:t xml:space="preserve"> in the neonatal intensive care unit: a quality improvement initiative. </w:t>
      </w:r>
      <w:r w:rsidRPr="00C71CF2">
        <w:rPr>
          <w:i/>
          <w:iCs/>
        </w:rPr>
        <w:t xml:space="preserve">J </w:t>
      </w:r>
      <w:proofErr w:type="spellStart"/>
      <w:r w:rsidRPr="00C71CF2">
        <w:rPr>
          <w:i/>
          <w:iCs/>
        </w:rPr>
        <w:t>Perinatol</w:t>
      </w:r>
      <w:proofErr w:type="spellEnd"/>
      <w:r w:rsidRPr="001D013F">
        <w:t>. 2018;38(6):759</w:t>
      </w:r>
      <w:r>
        <w:t>–</w:t>
      </w:r>
      <w:r w:rsidRPr="001D013F">
        <w:t>766</w:t>
      </w:r>
    </w:p>
    <w:p w14:paraId="2AC0A5FE" w14:textId="6DBC3BBE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Lariviere J, </w:t>
      </w:r>
      <w:proofErr w:type="spellStart"/>
      <w:r w:rsidRPr="001D013F">
        <w:t>Rennick</w:t>
      </w:r>
      <w:proofErr w:type="spellEnd"/>
      <w:r w:rsidRPr="001D013F">
        <w:t xml:space="preserve"> JE. Parent picture-book reading to infants in the neonatal intensive care unit as an intervention supporting parent-infant interaction and later book reading. </w:t>
      </w:r>
      <w:r w:rsidRPr="00C71CF2">
        <w:rPr>
          <w:i/>
          <w:iCs/>
        </w:rPr>
        <w:t xml:space="preserve">J Dev </w:t>
      </w:r>
      <w:proofErr w:type="spellStart"/>
      <w:r w:rsidRPr="00C71CF2">
        <w:rPr>
          <w:i/>
          <w:iCs/>
        </w:rPr>
        <w:t>Behav</w:t>
      </w:r>
      <w:proofErr w:type="spellEnd"/>
      <w:r w:rsidRPr="00C71CF2">
        <w:rPr>
          <w:i/>
          <w:iCs/>
        </w:rPr>
        <w:t xml:space="preserve"> </w:t>
      </w:r>
      <w:proofErr w:type="spellStart"/>
      <w:r w:rsidRPr="00C71CF2">
        <w:rPr>
          <w:i/>
          <w:iCs/>
        </w:rPr>
        <w:t>Pediatr</w:t>
      </w:r>
      <w:proofErr w:type="spellEnd"/>
      <w:r w:rsidRPr="001D013F">
        <w:t>. 2011;32(2):146</w:t>
      </w:r>
      <w:r>
        <w:t>–</w:t>
      </w:r>
      <w:r w:rsidRPr="001D013F">
        <w:t>152</w:t>
      </w:r>
    </w:p>
    <w:p w14:paraId="3BACCF6D" w14:textId="694CE2F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Caskey M, Stephens B, Tucker R, </w:t>
      </w:r>
      <w:proofErr w:type="spellStart"/>
      <w:r w:rsidRPr="001D013F">
        <w:t>Vohr</w:t>
      </w:r>
      <w:proofErr w:type="spellEnd"/>
      <w:r w:rsidRPr="001D013F">
        <w:t xml:space="preserve"> B. Adult talk in the NICU with preterm infants and developmental outcomes. </w:t>
      </w:r>
      <w:r w:rsidRPr="00C71CF2">
        <w:rPr>
          <w:i/>
          <w:iCs/>
        </w:rPr>
        <w:t>Pediatrics</w:t>
      </w:r>
      <w:r w:rsidRPr="001D013F">
        <w:t>. 2014;133(3</w:t>
      </w:r>
      <w:r>
        <w:t>). Available at: www.pediatrics.org/cgi/content/full/133/3/e578</w:t>
      </w:r>
    </w:p>
    <w:p w14:paraId="6F9E4D61" w14:textId="45AC93D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gramStart"/>
      <w:r w:rsidRPr="001D013F">
        <w:t>Braid S,</w:t>
      </w:r>
      <w:proofErr w:type="gramEnd"/>
      <w:r w:rsidRPr="001D013F">
        <w:t xml:space="preserve"> Bernstein J. Improved cognitive development in preterm infants with shared book reading. </w:t>
      </w:r>
      <w:r w:rsidRPr="00C71CF2">
        <w:rPr>
          <w:i/>
          <w:iCs/>
        </w:rPr>
        <w:t xml:space="preserve">Neonatal </w:t>
      </w:r>
      <w:proofErr w:type="spellStart"/>
      <w:r w:rsidRPr="00C71CF2">
        <w:rPr>
          <w:i/>
          <w:iCs/>
        </w:rPr>
        <w:t>Netw</w:t>
      </w:r>
      <w:proofErr w:type="spellEnd"/>
      <w:r w:rsidRPr="001D013F">
        <w:t>. 2015;34(1):10</w:t>
      </w:r>
      <w:r>
        <w:t>–</w:t>
      </w:r>
      <w:r w:rsidRPr="001D013F">
        <w:t>17</w:t>
      </w:r>
    </w:p>
    <w:p w14:paraId="270B78B4" w14:textId="08B19FF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Phillips DA, Lipsey MW, Dodge KA, et al. Puzzling it out: The current state of scientific knowledge on pre-kindergarten effects. Brookings.</w:t>
      </w:r>
      <w:r>
        <w:t xml:space="preserve"> Available at:</w:t>
      </w:r>
      <w:r w:rsidRPr="001D013F">
        <w:t xml:space="preserve"> </w:t>
      </w:r>
      <w:hyperlink r:id="rId20" w:history="1">
        <w:r w:rsidRPr="00D85947">
          <w:rPr>
            <w:rStyle w:val="Hyperlink"/>
          </w:rPr>
          <w:t>https://www.brookings.edu/research/puzzling-it-out-the-current-state-of-scientific-knowledge-on-pre-kindergarten-effects/</w:t>
        </w:r>
      </w:hyperlink>
      <w:r>
        <w:t xml:space="preserve">. </w:t>
      </w:r>
      <w:r w:rsidRPr="001D013F">
        <w:t>Accessed November 12, 2019</w:t>
      </w:r>
    </w:p>
    <w:p w14:paraId="7E224B9B" w14:textId="2151906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lastRenderedPageBreak/>
        <w:t>Meloy</w:t>
      </w:r>
      <w:proofErr w:type="spellEnd"/>
      <w:r w:rsidRPr="001D013F">
        <w:t xml:space="preserve"> B, Gardner M, Darling-Hammond L. </w:t>
      </w:r>
      <w:r w:rsidRPr="00C71CF2">
        <w:rPr>
          <w:i/>
          <w:iCs/>
        </w:rPr>
        <w:t>Untangling the Evidence on Preschool Effectiveness: Insights for Policymakers</w:t>
      </w:r>
      <w:r w:rsidRPr="001D013F">
        <w:t xml:space="preserve">. </w:t>
      </w:r>
      <w:r>
        <w:t xml:space="preserve">Palo Alto, CA: </w:t>
      </w:r>
      <w:r w:rsidRPr="001D013F">
        <w:t>Learning Policy Institute; 2019.</w:t>
      </w:r>
    </w:p>
    <w:p w14:paraId="04BB7EAF" w14:textId="511EA86C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Grunberg VA, Geller PA, </w:t>
      </w:r>
      <w:proofErr w:type="spellStart"/>
      <w:r w:rsidRPr="001D013F">
        <w:t>Bonacquisti</w:t>
      </w:r>
      <w:proofErr w:type="spellEnd"/>
      <w:r w:rsidRPr="001D013F">
        <w:t xml:space="preserve"> A, Patterson CA. NICU infant health severity and family outcomes: a systematic review of assessments and findings in psychosocial research. </w:t>
      </w:r>
      <w:r w:rsidRPr="00C71CF2">
        <w:rPr>
          <w:i/>
          <w:iCs/>
        </w:rPr>
        <w:t xml:space="preserve">J </w:t>
      </w:r>
      <w:proofErr w:type="spellStart"/>
      <w:r w:rsidRPr="00C71CF2">
        <w:rPr>
          <w:i/>
          <w:iCs/>
        </w:rPr>
        <w:t>Perinatol</w:t>
      </w:r>
      <w:proofErr w:type="spellEnd"/>
      <w:r w:rsidRPr="001D013F">
        <w:t>. 2019;39(2):156</w:t>
      </w:r>
      <w:r>
        <w:t>–</w:t>
      </w:r>
      <w:r w:rsidRPr="001D013F">
        <w:t>172</w:t>
      </w:r>
    </w:p>
    <w:p w14:paraId="27F7BF57" w14:textId="2030169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Zeitlin J, </w:t>
      </w:r>
      <w:proofErr w:type="spellStart"/>
      <w:r w:rsidRPr="001D013F">
        <w:t>Egorova</w:t>
      </w:r>
      <w:proofErr w:type="spellEnd"/>
      <w:r w:rsidRPr="001D013F">
        <w:t xml:space="preserve"> NN, </w:t>
      </w:r>
      <w:proofErr w:type="spellStart"/>
      <w:r w:rsidRPr="001D013F">
        <w:t>Janevic</w:t>
      </w:r>
      <w:proofErr w:type="spellEnd"/>
      <w:r w:rsidRPr="001D013F">
        <w:t xml:space="preserve"> T, et al. The impact of severe maternal morbidity on very preterm infant outcomes. </w:t>
      </w:r>
      <w:r w:rsidRPr="00C71CF2">
        <w:rPr>
          <w:i/>
          <w:iCs/>
        </w:rPr>
        <w:t xml:space="preserve">J </w:t>
      </w:r>
      <w:proofErr w:type="spellStart"/>
      <w:r w:rsidRPr="00C71CF2">
        <w:rPr>
          <w:i/>
          <w:iCs/>
        </w:rPr>
        <w:t>Pediatr</w:t>
      </w:r>
      <w:proofErr w:type="spellEnd"/>
      <w:r w:rsidRPr="001D013F">
        <w:t xml:space="preserve">. </w:t>
      </w:r>
      <w:proofErr w:type="gramStart"/>
      <w:r>
        <w:t>2019;215:56</w:t>
      </w:r>
      <w:proofErr w:type="gramEnd"/>
      <w:r>
        <w:t>.e1–63.e1</w:t>
      </w:r>
    </w:p>
    <w:p w14:paraId="6674362F" w14:textId="6FE08E00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Roman LA, </w:t>
      </w:r>
      <w:proofErr w:type="spellStart"/>
      <w:r w:rsidRPr="001D013F">
        <w:t>Raffo</w:t>
      </w:r>
      <w:proofErr w:type="spellEnd"/>
      <w:r w:rsidRPr="001D013F">
        <w:t xml:space="preserve"> JE, </w:t>
      </w:r>
      <w:proofErr w:type="spellStart"/>
      <w:r w:rsidRPr="001D013F">
        <w:t>Dertz</w:t>
      </w:r>
      <w:proofErr w:type="spellEnd"/>
      <w:r w:rsidRPr="001D013F">
        <w:t xml:space="preserve"> K, et al. Understanding perspectives of African American Medicaid-insured women on the process of perinatal care: </w:t>
      </w:r>
      <w:r>
        <w:t>a</w:t>
      </w:r>
      <w:r w:rsidRPr="001D013F">
        <w:t xml:space="preserve">n opportunity for systems improvement. </w:t>
      </w:r>
      <w:proofErr w:type="spellStart"/>
      <w:r w:rsidRPr="00C71CF2">
        <w:rPr>
          <w:i/>
          <w:iCs/>
        </w:rPr>
        <w:t>Matern</w:t>
      </w:r>
      <w:proofErr w:type="spellEnd"/>
      <w:r w:rsidRPr="00C71CF2">
        <w:rPr>
          <w:i/>
          <w:iCs/>
        </w:rPr>
        <w:t xml:space="preserve"> Child Health J</w:t>
      </w:r>
      <w:r w:rsidRPr="001D013F">
        <w:t>. 2017;21(</w:t>
      </w:r>
      <w:r>
        <w:t>s</w:t>
      </w:r>
      <w:r w:rsidRPr="001D013F">
        <w:t>uppl 1):81</w:t>
      </w:r>
      <w:r>
        <w:t>–</w:t>
      </w:r>
      <w:r w:rsidRPr="001D013F">
        <w:t>92</w:t>
      </w:r>
    </w:p>
    <w:p w14:paraId="134F9127" w14:textId="14B497B4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Petersen EE, Davis NL, Goodman D, et al. Racial/ethnic disparities in pregnancy-related deaths — United States, 2007–2016. </w:t>
      </w:r>
      <w:r w:rsidRPr="00C71CF2">
        <w:rPr>
          <w:i/>
          <w:iCs/>
        </w:rPr>
        <w:t>MMWR</w:t>
      </w:r>
      <w:r>
        <w:t xml:space="preserve"> </w:t>
      </w:r>
      <w:proofErr w:type="spellStart"/>
      <w:r w:rsidRPr="00C71CF2">
        <w:rPr>
          <w:i/>
          <w:iCs/>
        </w:rPr>
        <w:t>Morb</w:t>
      </w:r>
      <w:proofErr w:type="spellEnd"/>
      <w:r w:rsidRPr="00C71CF2">
        <w:rPr>
          <w:i/>
          <w:iCs/>
        </w:rPr>
        <w:t xml:space="preserve"> Mortal </w:t>
      </w:r>
      <w:proofErr w:type="spellStart"/>
      <w:r w:rsidRPr="00C71CF2">
        <w:rPr>
          <w:i/>
          <w:iCs/>
        </w:rPr>
        <w:t>Wkly</w:t>
      </w:r>
      <w:proofErr w:type="spellEnd"/>
      <w:r w:rsidRPr="00C71CF2">
        <w:rPr>
          <w:i/>
          <w:iCs/>
        </w:rPr>
        <w:t xml:space="preserve"> Rep</w:t>
      </w:r>
      <w:r w:rsidRPr="001D013F">
        <w:t>. 2019;68(35):762</w:t>
      </w:r>
      <w:r>
        <w:t>–</w:t>
      </w:r>
      <w:r w:rsidRPr="001D013F">
        <w:t>765</w:t>
      </w:r>
    </w:p>
    <w:p w14:paraId="6E80441B" w14:textId="6F2C980C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Johnson PD, </w:t>
      </w:r>
      <w:proofErr w:type="spellStart"/>
      <w:r w:rsidRPr="001D013F">
        <w:t>Duzyj</w:t>
      </w:r>
      <w:proofErr w:type="spellEnd"/>
      <w:r w:rsidRPr="001D013F">
        <w:t xml:space="preserve"> CM, Howell EA, </w:t>
      </w:r>
      <w:proofErr w:type="spellStart"/>
      <w:r w:rsidRPr="001D013F">
        <w:t>Janevic</w:t>
      </w:r>
      <w:proofErr w:type="spellEnd"/>
      <w:r w:rsidRPr="001D013F">
        <w:t xml:space="preserve"> T. </w:t>
      </w:r>
      <w:proofErr w:type="gramStart"/>
      <w:r w:rsidRPr="001D013F">
        <w:t>Patient</w:t>
      </w:r>
      <w:proofErr w:type="gramEnd"/>
      <w:r w:rsidRPr="001D013F">
        <w:t xml:space="preserve"> and hospital characteristics associated with severe maternal morbidity among postpartum readmissions. </w:t>
      </w:r>
      <w:r w:rsidRPr="00C71CF2">
        <w:rPr>
          <w:i/>
          <w:iCs/>
        </w:rPr>
        <w:t xml:space="preserve">J </w:t>
      </w:r>
      <w:proofErr w:type="spellStart"/>
      <w:r w:rsidRPr="00C71CF2">
        <w:rPr>
          <w:i/>
          <w:iCs/>
        </w:rPr>
        <w:t>Perinatol</w:t>
      </w:r>
      <w:proofErr w:type="spellEnd"/>
      <w:r w:rsidRPr="001D013F">
        <w:t>. 2019;39(9):1204</w:t>
      </w:r>
      <w:r>
        <w:t>–</w:t>
      </w:r>
      <w:r w:rsidRPr="001D013F">
        <w:t>1212</w:t>
      </w:r>
    </w:p>
    <w:p w14:paraId="49C1AFD3" w14:textId="1CD20563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Janevic</w:t>
      </w:r>
      <w:proofErr w:type="spellEnd"/>
      <w:r w:rsidRPr="001D013F">
        <w:t xml:space="preserve"> T, Zeitlin J, Auger N, et al. Association of race/ethnicity with very preterm neonatal morbidities. </w:t>
      </w:r>
      <w:r w:rsidRPr="00C71CF2">
        <w:rPr>
          <w:i/>
          <w:iCs/>
        </w:rPr>
        <w:t xml:space="preserve">JAMA </w:t>
      </w:r>
      <w:proofErr w:type="spellStart"/>
      <w:r w:rsidRPr="00C71CF2">
        <w:rPr>
          <w:i/>
          <w:iCs/>
        </w:rPr>
        <w:t>Pediatr</w:t>
      </w:r>
      <w:proofErr w:type="spellEnd"/>
      <w:r w:rsidRPr="001D013F">
        <w:t>. 2018;172(11):1061</w:t>
      </w:r>
      <w:r>
        <w:t>–</w:t>
      </w:r>
      <w:r w:rsidRPr="001D013F">
        <w:t>1069</w:t>
      </w:r>
    </w:p>
    <w:p w14:paraId="268320C6" w14:textId="402578B6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Howell EA, Brown H, Brumley J, et al. Reduction of peripartum racial and ethnic disparities: A conceptual framework and maternal safety consensus bundle.</w:t>
      </w:r>
      <w:r>
        <w:t xml:space="preserve"> [published correction appears in </w:t>
      </w:r>
      <w:proofErr w:type="spellStart"/>
      <w:r>
        <w:rPr>
          <w:i/>
          <w:iCs/>
        </w:rPr>
        <w:t>Obstet</w:t>
      </w:r>
      <w:proofErr w:type="spellEnd"/>
      <w:r>
        <w:rPr>
          <w:i/>
          <w:iCs/>
        </w:rPr>
        <w:t xml:space="preserve"> Gynecol</w:t>
      </w:r>
      <w:r>
        <w:t>. 2019;133(6):1287].</w:t>
      </w:r>
      <w:r w:rsidRPr="001D013F">
        <w:t xml:space="preserve"> </w:t>
      </w:r>
      <w:proofErr w:type="spellStart"/>
      <w:r w:rsidRPr="00C71CF2">
        <w:rPr>
          <w:i/>
          <w:iCs/>
        </w:rPr>
        <w:t>Obstet</w:t>
      </w:r>
      <w:proofErr w:type="spellEnd"/>
      <w:r w:rsidRPr="00C71CF2">
        <w:rPr>
          <w:i/>
          <w:iCs/>
        </w:rPr>
        <w:t xml:space="preserve"> Gynecol</w:t>
      </w:r>
      <w:r w:rsidRPr="001D013F">
        <w:t>. 2018;131(5):770</w:t>
      </w:r>
      <w:r>
        <w:t>–</w:t>
      </w:r>
      <w:r w:rsidRPr="001D013F">
        <w:t>782</w:t>
      </w:r>
    </w:p>
    <w:p w14:paraId="0F8D0DB8" w14:textId="7894BE79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Howell EA, Ahmed ZN. Eight steps for narrowing the maternal health disparity gap. </w:t>
      </w:r>
      <w:proofErr w:type="spellStart"/>
      <w:r w:rsidRPr="00C71CF2">
        <w:rPr>
          <w:i/>
          <w:iCs/>
        </w:rPr>
        <w:t>Contemp</w:t>
      </w:r>
      <w:proofErr w:type="spellEnd"/>
      <w:r w:rsidRPr="00C71CF2">
        <w:rPr>
          <w:i/>
          <w:iCs/>
        </w:rPr>
        <w:t xml:space="preserve"> </w:t>
      </w:r>
      <w:proofErr w:type="spellStart"/>
      <w:r w:rsidRPr="00C71CF2">
        <w:rPr>
          <w:i/>
          <w:iCs/>
        </w:rPr>
        <w:t>Obgyn</w:t>
      </w:r>
      <w:proofErr w:type="spellEnd"/>
      <w:r w:rsidRPr="001D013F">
        <w:t>. 2019;64(1):30</w:t>
      </w:r>
      <w:r>
        <w:t>–</w:t>
      </w:r>
      <w:r w:rsidRPr="001D013F">
        <w:t>36</w:t>
      </w:r>
    </w:p>
    <w:p w14:paraId="315411C1" w14:textId="7D5C186C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Bingham D, Jones DK, Howell EA. Quality improvement approach to eliminate disparities in perinatal morbidity and mortality. </w:t>
      </w:r>
      <w:proofErr w:type="spellStart"/>
      <w:r w:rsidRPr="00316B2F">
        <w:rPr>
          <w:i/>
          <w:iCs/>
        </w:rPr>
        <w:t>Obstet</w:t>
      </w:r>
      <w:proofErr w:type="spellEnd"/>
      <w:r w:rsidRPr="00316B2F">
        <w:rPr>
          <w:i/>
          <w:iCs/>
        </w:rPr>
        <w:t xml:space="preserve"> </w:t>
      </w:r>
      <w:proofErr w:type="spellStart"/>
      <w:r w:rsidRPr="00316B2F">
        <w:rPr>
          <w:i/>
          <w:iCs/>
        </w:rPr>
        <w:t>Gynecol</w:t>
      </w:r>
      <w:proofErr w:type="spellEnd"/>
      <w:r w:rsidRPr="00316B2F">
        <w:rPr>
          <w:i/>
          <w:iCs/>
        </w:rPr>
        <w:t xml:space="preserve"> Clin North Am</w:t>
      </w:r>
      <w:r w:rsidRPr="001D013F">
        <w:t>. 2019;46(2):227</w:t>
      </w:r>
      <w:r>
        <w:t>–</w:t>
      </w:r>
      <w:r w:rsidRPr="001D013F">
        <w:t>238</w:t>
      </w:r>
    </w:p>
    <w:p w14:paraId="0139DEA7" w14:textId="5121D9C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Aziz A, </w:t>
      </w:r>
      <w:proofErr w:type="spellStart"/>
      <w:r w:rsidRPr="001D013F">
        <w:t>Gyamfi</w:t>
      </w:r>
      <w:proofErr w:type="spellEnd"/>
      <w:r w:rsidRPr="001D013F">
        <w:t xml:space="preserve">-Bannerman C, Siddiq Z, et al. Maternal outcomes by race during postpartum readmissions. </w:t>
      </w:r>
      <w:r w:rsidRPr="00316B2F">
        <w:rPr>
          <w:i/>
          <w:iCs/>
        </w:rPr>
        <w:t xml:space="preserve">Am J </w:t>
      </w:r>
      <w:proofErr w:type="spellStart"/>
      <w:r w:rsidRPr="00316B2F">
        <w:rPr>
          <w:i/>
          <w:iCs/>
        </w:rPr>
        <w:t>Obstet</w:t>
      </w:r>
      <w:proofErr w:type="spellEnd"/>
      <w:r w:rsidRPr="00316B2F">
        <w:rPr>
          <w:i/>
          <w:iCs/>
        </w:rPr>
        <w:t xml:space="preserve"> Gynecol</w:t>
      </w:r>
      <w:r w:rsidRPr="001D013F">
        <w:t>. 2019;220(5</w:t>
      </w:r>
      <w:proofErr w:type="gramStart"/>
      <w:r w:rsidRPr="001D013F">
        <w:t>):484.e</w:t>
      </w:r>
      <w:proofErr w:type="gramEnd"/>
      <w:r w:rsidRPr="001D013F">
        <w:t>1</w:t>
      </w:r>
      <w:r>
        <w:t>–</w:t>
      </w:r>
      <w:r w:rsidRPr="001D013F">
        <w:t>484.e10</w:t>
      </w:r>
    </w:p>
    <w:p w14:paraId="241F4F5D" w14:textId="1AAD5CF9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Wholesome Wave. The </w:t>
      </w:r>
      <w:r>
        <w:t>f</w:t>
      </w:r>
      <w:r w:rsidRPr="001D013F">
        <w:t xml:space="preserve">ruit and </w:t>
      </w:r>
      <w:r>
        <w:t>v</w:t>
      </w:r>
      <w:r w:rsidRPr="001D013F">
        <w:t xml:space="preserve">egetable </w:t>
      </w:r>
      <w:r>
        <w:t>p</w:t>
      </w:r>
      <w:r w:rsidRPr="001D013F">
        <w:t xml:space="preserve">rescription </w:t>
      </w:r>
      <w:r>
        <w:t>p</w:t>
      </w:r>
      <w:r w:rsidRPr="001D013F">
        <w:t>rogram (</w:t>
      </w:r>
      <w:proofErr w:type="spellStart"/>
      <w:r w:rsidRPr="001D013F">
        <w:t>FVRx</w:t>
      </w:r>
      <w:proofErr w:type="spellEnd"/>
      <w:r w:rsidRPr="001D013F">
        <w:t xml:space="preserve">). </w:t>
      </w:r>
      <w:r>
        <w:t xml:space="preserve">Available at: </w:t>
      </w:r>
      <w:hyperlink r:id="rId21" w:history="1">
        <w:r w:rsidRPr="00D85947">
          <w:rPr>
            <w:rStyle w:val="Hyperlink"/>
          </w:rPr>
          <w:t>https://snaped.fns.usda.gov/library/materials/fruit-and-vegetable-prescription-programr-fvrxr</w:t>
        </w:r>
      </w:hyperlink>
      <w:r>
        <w:t xml:space="preserve">. </w:t>
      </w:r>
      <w:r w:rsidRPr="001D013F">
        <w:t>Accessed October 21, 2020.</w:t>
      </w:r>
    </w:p>
    <w:p w14:paraId="60345A15" w14:textId="07D48B96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Sundberg MA, Warren AC, </w:t>
      </w:r>
      <w:proofErr w:type="spellStart"/>
      <w:r w:rsidRPr="001D013F">
        <w:t>VanWassenhove-Paetzold</w:t>
      </w:r>
      <w:proofErr w:type="spellEnd"/>
      <w:r w:rsidRPr="001D013F">
        <w:t xml:space="preserve"> J, et al. Implementat</w:t>
      </w:r>
      <w:r>
        <w:t>i</w:t>
      </w:r>
      <w:r w:rsidRPr="001D013F">
        <w:t xml:space="preserve">on of the Navajo Fruit and Vegetable Prescription Program to improve access to healthy foods in a rural food desert. </w:t>
      </w:r>
      <w:r w:rsidRPr="00316B2F">
        <w:rPr>
          <w:i/>
          <w:iCs/>
        </w:rPr>
        <w:t xml:space="preserve">Public Health </w:t>
      </w:r>
      <w:proofErr w:type="spellStart"/>
      <w:r w:rsidRPr="00316B2F">
        <w:rPr>
          <w:i/>
          <w:iCs/>
        </w:rPr>
        <w:t>Nutr</w:t>
      </w:r>
      <w:proofErr w:type="spellEnd"/>
      <w:r w:rsidRPr="001D013F">
        <w:t xml:space="preserve">. </w:t>
      </w:r>
      <w:r>
        <w:t>2020;23(12):2199–2210</w:t>
      </w:r>
    </w:p>
    <w:p w14:paraId="5370BEEB" w14:textId="7FFBA5C5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Esquivel MK, </w:t>
      </w:r>
      <w:proofErr w:type="spellStart"/>
      <w:r w:rsidRPr="001D013F">
        <w:t>Higa</w:t>
      </w:r>
      <w:proofErr w:type="spellEnd"/>
      <w:r w:rsidRPr="001D013F">
        <w:t xml:space="preserve"> A, Hitchens M, Shelton C, </w:t>
      </w:r>
      <w:proofErr w:type="spellStart"/>
      <w:r w:rsidRPr="001D013F">
        <w:t>Okihiro</w:t>
      </w:r>
      <w:proofErr w:type="spellEnd"/>
      <w:r w:rsidRPr="001D013F">
        <w:t xml:space="preserve"> M. Keiki Produce Prescription (</w:t>
      </w:r>
      <w:proofErr w:type="spellStart"/>
      <w:r w:rsidRPr="001D013F">
        <w:t>KPRx</w:t>
      </w:r>
      <w:proofErr w:type="spellEnd"/>
      <w:r w:rsidRPr="001D013F">
        <w:t xml:space="preserve">) Program feasibility study to reduce food insecurity and obesity risk. </w:t>
      </w:r>
      <w:r w:rsidRPr="00316B2F">
        <w:rPr>
          <w:i/>
          <w:iCs/>
        </w:rPr>
        <w:t xml:space="preserve">Hawaii J Health Soc </w:t>
      </w:r>
      <w:proofErr w:type="spellStart"/>
      <w:r w:rsidRPr="00316B2F">
        <w:rPr>
          <w:i/>
          <w:iCs/>
        </w:rPr>
        <w:t>Welf</w:t>
      </w:r>
      <w:proofErr w:type="spellEnd"/>
      <w:r w:rsidRPr="001D013F">
        <w:t xml:space="preserve">. 2020;79(5 </w:t>
      </w:r>
      <w:r>
        <w:t>s</w:t>
      </w:r>
      <w:r w:rsidRPr="001D013F">
        <w:t>uppl 1):44</w:t>
      </w:r>
      <w:r>
        <w:t>–</w:t>
      </w:r>
      <w:r w:rsidRPr="001D013F">
        <w:t>49.</w:t>
      </w:r>
    </w:p>
    <w:p w14:paraId="27591317" w14:textId="7413842E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Forbes JM, Forbes CR, Lehman E, George DR. “Prevention Produce”: </w:t>
      </w:r>
      <w:r>
        <w:t>i</w:t>
      </w:r>
      <w:r w:rsidRPr="001D013F">
        <w:t xml:space="preserve">ntegrating medical school mentorship into a fruit and vegetable prescription program for at-risk patients. </w:t>
      </w:r>
      <w:r w:rsidRPr="00316B2F">
        <w:rPr>
          <w:i/>
          <w:iCs/>
        </w:rPr>
        <w:t>Perm J</w:t>
      </w:r>
      <w:r w:rsidRPr="001D013F">
        <w:t xml:space="preserve">. </w:t>
      </w:r>
      <w:proofErr w:type="gramStart"/>
      <w:r w:rsidRPr="001D013F">
        <w:t>2019;23:18</w:t>
      </w:r>
      <w:proofErr w:type="gramEnd"/>
      <w:r>
        <w:t>–</w:t>
      </w:r>
      <w:r w:rsidRPr="001D013F">
        <w:t>238</w:t>
      </w:r>
    </w:p>
    <w:p w14:paraId="1F3E2B67" w14:textId="2BC2BE3E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McPheeters</w:t>
      </w:r>
      <w:proofErr w:type="spellEnd"/>
      <w:r w:rsidRPr="001D013F">
        <w:t xml:space="preserve"> ML, </w:t>
      </w:r>
      <w:proofErr w:type="spellStart"/>
      <w:r w:rsidRPr="001D013F">
        <w:t>Kripalani</w:t>
      </w:r>
      <w:proofErr w:type="spellEnd"/>
      <w:r w:rsidRPr="001D013F">
        <w:t xml:space="preserve"> S, Peterson NB, et al. Closing the quality gap: revisiting the state of the science (vol. 3: quality improvement interventions to address health disparities). </w:t>
      </w:r>
      <w:r w:rsidRPr="00316B2F">
        <w:rPr>
          <w:i/>
          <w:iCs/>
        </w:rPr>
        <w:t>Evid Report Technol Assess (Full Rep)</w:t>
      </w:r>
      <w:r w:rsidRPr="001D013F">
        <w:t>. 2012;(208.3):1</w:t>
      </w:r>
      <w:r>
        <w:t>–</w:t>
      </w:r>
      <w:r w:rsidRPr="001D013F">
        <w:t>475</w:t>
      </w:r>
    </w:p>
    <w:p w14:paraId="2F13E44A" w14:textId="690908C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Lion KC, Raphael JL. Partnering health disparities research with quality improvement science in pediatrics. </w:t>
      </w:r>
      <w:r w:rsidRPr="00316B2F">
        <w:rPr>
          <w:i/>
          <w:iCs/>
        </w:rPr>
        <w:t>Pediatrics</w:t>
      </w:r>
      <w:r w:rsidRPr="001D013F">
        <w:t>. 2015;135(2):354</w:t>
      </w:r>
      <w:r>
        <w:t>–</w:t>
      </w:r>
      <w:r w:rsidRPr="001D013F">
        <w:t>361</w:t>
      </w:r>
    </w:p>
    <w:p w14:paraId="2929A481" w14:textId="1AA33D66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Chin MH, Alexander-Young M, Burnet DL. Health care quality-improvement approaches to reducing child health disparities. </w:t>
      </w:r>
      <w:r w:rsidRPr="00316B2F">
        <w:rPr>
          <w:i/>
          <w:iCs/>
        </w:rPr>
        <w:t>Pediatrics</w:t>
      </w:r>
      <w:r w:rsidRPr="001D013F">
        <w:t>. 2009;124</w:t>
      </w:r>
      <w:r>
        <w:t>(s</w:t>
      </w:r>
      <w:r w:rsidRPr="001D013F">
        <w:t>uppl 3</w:t>
      </w:r>
      <w:proofErr w:type="gramStart"/>
      <w:r>
        <w:t>)</w:t>
      </w:r>
      <w:r w:rsidRPr="001D013F">
        <w:t>:S</w:t>
      </w:r>
      <w:proofErr w:type="gramEnd"/>
      <w:r w:rsidRPr="001D013F">
        <w:t>224</w:t>
      </w:r>
      <w:r>
        <w:t>–S</w:t>
      </w:r>
      <w:r w:rsidRPr="001D013F">
        <w:t>236</w:t>
      </w:r>
    </w:p>
    <w:p w14:paraId="3D98B67D" w14:textId="037729E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Hatef</w:t>
      </w:r>
      <w:proofErr w:type="spellEnd"/>
      <w:r w:rsidRPr="001D013F">
        <w:t xml:space="preserve"> E, </w:t>
      </w:r>
      <w:proofErr w:type="spellStart"/>
      <w:r w:rsidRPr="001D013F">
        <w:t>Rouhizadeh</w:t>
      </w:r>
      <w:proofErr w:type="spellEnd"/>
      <w:r w:rsidRPr="001D013F">
        <w:t xml:space="preserve"> M, Tia I, et al. Assessing the availability of data on social and behavioral determinants in structured and unstructured electronic health records: A retrospective analysis of a multilevel health care system. </w:t>
      </w:r>
      <w:r w:rsidRPr="00316B2F">
        <w:rPr>
          <w:i/>
          <w:iCs/>
        </w:rPr>
        <w:t>JMIR Med Inform</w:t>
      </w:r>
      <w:r w:rsidRPr="001D013F">
        <w:t>. 2019;7(3</w:t>
      </w:r>
      <w:proofErr w:type="gramStart"/>
      <w:r>
        <w:t>):e</w:t>
      </w:r>
      <w:proofErr w:type="gramEnd"/>
      <w:r>
        <w:t>13802</w:t>
      </w:r>
    </w:p>
    <w:p w14:paraId="269DBA25" w14:textId="0D8E5C95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Celenza</w:t>
      </w:r>
      <w:proofErr w:type="spellEnd"/>
      <w:r w:rsidRPr="001D013F">
        <w:t xml:space="preserve"> JF, Zayack D, Buus-Frank ME, Horbar JD. Family involvement in quality improvement: From bedside advocate to system advisor. </w:t>
      </w:r>
      <w:r w:rsidRPr="00316B2F">
        <w:rPr>
          <w:i/>
          <w:iCs/>
        </w:rPr>
        <w:t xml:space="preserve">Clin </w:t>
      </w:r>
      <w:proofErr w:type="spellStart"/>
      <w:r w:rsidRPr="00316B2F">
        <w:rPr>
          <w:i/>
          <w:iCs/>
        </w:rPr>
        <w:t>Perinatol</w:t>
      </w:r>
      <w:proofErr w:type="spellEnd"/>
      <w:r w:rsidRPr="001D013F">
        <w:t>. 2017;44(3):553</w:t>
      </w:r>
      <w:r>
        <w:t>–</w:t>
      </w:r>
      <w:r w:rsidRPr="001D013F">
        <w:t>566</w:t>
      </w:r>
    </w:p>
    <w:p w14:paraId="0BFAE407" w14:textId="29826A51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California Perinatal Quality Care Collaborative. </w:t>
      </w:r>
      <w:r>
        <w:t>Health equity tip sheet</w:t>
      </w:r>
      <w:r w:rsidRPr="001D013F">
        <w:t xml:space="preserve">. </w:t>
      </w:r>
      <w:r>
        <w:t xml:space="preserve">Available at: </w:t>
      </w:r>
      <w:hyperlink r:id="rId22" w:history="1">
        <w:r w:rsidRPr="00D85947">
          <w:rPr>
            <w:rStyle w:val="Hyperlink"/>
          </w:rPr>
          <w:t>https://www.cpqcc.org/tip-sheet-health-equity</w:t>
        </w:r>
      </w:hyperlink>
      <w:r>
        <w:t xml:space="preserve">. </w:t>
      </w:r>
      <w:r w:rsidRPr="001D013F">
        <w:t xml:space="preserve">Accessed </w:t>
      </w:r>
      <w:r>
        <w:t>December 19, 2019</w:t>
      </w:r>
    </w:p>
    <w:p w14:paraId="330A9811" w14:textId="0B356305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Gerson WT. In search of better practice. </w:t>
      </w:r>
      <w:proofErr w:type="spellStart"/>
      <w:r w:rsidRPr="00316B2F">
        <w:rPr>
          <w:i/>
          <w:iCs/>
        </w:rPr>
        <w:t>Curr</w:t>
      </w:r>
      <w:proofErr w:type="spellEnd"/>
      <w:r w:rsidRPr="00316B2F">
        <w:rPr>
          <w:i/>
          <w:iCs/>
        </w:rPr>
        <w:t xml:space="preserve"> </w:t>
      </w:r>
      <w:proofErr w:type="spellStart"/>
      <w:r w:rsidRPr="00316B2F">
        <w:rPr>
          <w:i/>
          <w:iCs/>
        </w:rPr>
        <w:t>Probl</w:t>
      </w:r>
      <w:proofErr w:type="spellEnd"/>
      <w:r w:rsidRPr="00316B2F">
        <w:rPr>
          <w:i/>
          <w:iCs/>
        </w:rPr>
        <w:t xml:space="preserve"> </w:t>
      </w:r>
      <w:proofErr w:type="spellStart"/>
      <w:r w:rsidRPr="00316B2F">
        <w:rPr>
          <w:i/>
          <w:iCs/>
        </w:rPr>
        <w:t>Pediatr</w:t>
      </w:r>
      <w:proofErr w:type="spellEnd"/>
      <w:r w:rsidRPr="00316B2F">
        <w:rPr>
          <w:i/>
          <w:iCs/>
        </w:rPr>
        <w:t xml:space="preserve"> </w:t>
      </w:r>
      <w:proofErr w:type="spellStart"/>
      <w:r w:rsidRPr="00316B2F">
        <w:rPr>
          <w:i/>
          <w:iCs/>
        </w:rPr>
        <w:t>Adolesc</w:t>
      </w:r>
      <w:proofErr w:type="spellEnd"/>
      <w:r w:rsidRPr="00316B2F">
        <w:rPr>
          <w:i/>
          <w:iCs/>
        </w:rPr>
        <w:t xml:space="preserve"> Health Care</w:t>
      </w:r>
      <w:r w:rsidRPr="001D013F">
        <w:t>. 2018;48(7):191</w:t>
      </w:r>
      <w:r>
        <w:t>–</w:t>
      </w:r>
      <w:r w:rsidRPr="001D013F">
        <w:t>192.</w:t>
      </w:r>
    </w:p>
    <w:p w14:paraId="38788E81" w14:textId="1A247622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Institute for Patient- and Family-Centered Care. </w:t>
      </w:r>
      <w:r w:rsidRPr="001D013F">
        <w:t xml:space="preserve">Advancing the </w:t>
      </w:r>
      <w:r>
        <w:t>p</w:t>
      </w:r>
      <w:r w:rsidRPr="001D013F">
        <w:t xml:space="preserve">ractice of </w:t>
      </w:r>
      <w:r>
        <w:t>p</w:t>
      </w:r>
      <w:r w:rsidRPr="001D013F">
        <w:t xml:space="preserve">atient- and </w:t>
      </w:r>
      <w:r>
        <w:t>f</w:t>
      </w:r>
      <w:r w:rsidRPr="001D013F">
        <w:t>amily-</w:t>
      </w:r>
      <w:r>
        <w:t>c</w:t>
      </w:r>
      <w:r w:rsidRPr="001D013F">
        <w:t xml:space="preserve">entered </w:t>
      </w:r>
      <w:r>
        <w:t>c</w:t>
      </w:r>
      <w:r w:rsidRPr="001D013F">
        <w:t xml:space="preserve">are in </w:t>
      </w:r>
      <w:r>
        <w:t>h</w:t>
      </w:r>
      <w:r w:rsidRPr="001D013F">
        <w:t xml:space="preserve">ospitals: </w:t>
      </w:r>
      <w:r>
        <w:t>h</w:t>
      </w:r>
      <w:r w:rsidRPr="001D013F">
        <w:t xml:space="preserve">ow to </w:t>
      </w:r>
      <w:r>
        <w:t>g</w:t>
      </w:r>
      <w:r w:rsidRPr="001D013F">
        <w:t xml:space="preserve">et </w:t>
      </w:r>
      <w:r>
        <w:t>s</w:t>
      </w:r>
      <w:r w:rsidRPr="001D013F">
        <w:t xml:space="preserve">tarted. </w:t>
      </w:r>
      <w:r>
        <w:t xml:space="preserve">Available at: </w:t>
      </w:r>
      <w:hyperlink r:id="rId23" w:history="1">
        <w:r w:rsidRPr="00D85947">
          <w:rPr>
            <w:rStyle w:val="Hyperlink"/>
          </w:rPr>
          <w:t>https://ipfcc.org/resources/getting_started.pdf</w:t>
        </w:r>
      </w:hyperlink>
      <w:r>
        <w:t xml:space="preserve">. </w:t>
      </w:r>
      <w:r w:rsidRPr="001D013F">
        <w:t>Accessed December 19, 2019</w:t>
      </w:r>
    </w:p>
    <w:p w14:paraId="03FFCBE6" w14:textId="03D4BC7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Spencer N, Raman S, O’Hare B, </w:t>
      </w:r>
      <w:proofErr w:type="spellStart"/>
      <w:r w:rsidRPr="001D013F">
        <w:t>Tamburlini</w:t>
      </w:r>
      <w:proofErr w:type="spellEnd"/>
      <w:r w:rsidRPr="001D013F">
        <w:t xml:space="preserve"> G. Addressing inequities in child health and development: towards social justice. </w:t>
      </w:r>
      <w:r w:rsidRPr="00316B2F">
        <w:rPr>
          <w:i/>
          <w:iCs/>
        </w:rPr>
        <w:t xml:space="preserve">BMJ </w:t>
      </w:r>
      <w:proofErr w:type="spellStart"/>
      <w:r w:rsidRPr="00316B2F">
        <w:rPr>
          <w:i/>
          <w:iCs/>
        </w:rPr>
        <w:t>Paediatr</w:t>
      </w:r>
      <w:proofErr w:type="spellEnd"/>
      <w:r w:rsidRPr="00316B2F">
        <w:rPr>
          <w:i/>
          <w:iCs/>
        </w:rPr>
        <w:t xml:space="preserve"> Open</w:t>
      </w:r>
      <w:r w:rsidRPr="001D013F">
        <w:t>. 2019;3(1</w:t>
      </w:r>
      <w:proofErr w:type="gramStart"/>
      <w:r w:rsidRPr="001D013F">
        <w:t>)</w:t>
      </w:r>
      <w:r>
        <w:t>:e</w:t>
      </w:r>
      <w:proofErr w:type="gramEnd"/>
      <w:r>
        <w:t>000503</w:t>
      </w:r>
    </w:p>
    <w:p w14:paraId="073DF2A7" w14:textId="134FBB7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Matwick</w:t>
      </w:r>
      <w:proofErr w:type="spellEnd"/>
      <w:r w:rsidRPr="001D013F">
        <w:t xml:space="preserve"> AL, Woodgate RL. Social justice: </w:t>
      </w:r>
      <w:r>
        <w:t>a</w:t>
      </w:r>
      <w:r w:rsidRPr="001D013F">
        <w:t xml:space="preserve"> concept analysis. </w:t>
      </w:r>
      <w:r w:rsidRPr="00316B2F">
        <w:rPr>
          <w:i/>
          <w:iCs/>
        </w:rPr>
        <w:t xml:space="preserve">Public Health </w:t>
      </w:r>
      <w:proofErr w:type="spellStart"/>
      <w:r w:rsidRPr="00316B2F">
        <w:rPr>
          <w:i/>
          <w:iCs/>
        </w:rPr>
        <w:t>Nurs</w:t>
      </w:r>
      <w:proofErr w:type="spellEnd"/>
      <w:r w:rsidRPr="001D013F">
        <w:t>. 2017;34(2):176</w:t>
      </w:r>
      <w:r>
        <w:t>–</w:t>
      </w:r>
      <w:r w:rsidRPr="001D013F">
        <w:t>184</w:t>
      </w:r>
    </w:p>
    <w:p w14:paraId="6E9297B4" w14:textId="74D86719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Thurman W, </w:t>
      </w:r>
      <w:proofErr w:type="spellStart"/>
      <w:r w:rsidRPr="001D013F">
        <w:t>Pfitzinger</w:t>
      </w:r>
      <w:proofErr w:type="spellEnd"/>
      <w:r w:rsidRPr="001D013F">
        <w:t xml:space="preserve">-Lippe M. Returning to the profession’s roots: </w:t>
      </w:r>
      <w:r>
        <w:t>s</w:t>
      </w:r>
      <w:r w:rsidRPr="001D013F">
        <w:t xml:space="preserve">ocial justice in nursing education for the 21st Century. </w:t>
      </w:r>
      <w:r w:rsidRPr="00316B2F">
        <w:rPr>
          <w:i/>
          <w:iCs/>
        </w:rPr>
        <w:t xml:space="preserve">ANS Adv </w:t>
      </w:r>
      <w:proofErr w:type="spellStart"/>
      <w:r w:rsidRPr="00316B2F">
        <w:rPr>
          <w:i/>
          <w:iCs/>
        </w:rPr>
        <w:t>Nurs</w:t>
      </w:r>
      <w:proofErr w:type="spellEnd"/>
      <w:r w:rsidRPr="00316B2F">
        <w:rPr>
          <w:i/>
          <w:iCs/>
        </w:rPr>
        <w:t xml:space="preserve"> Sci</w:t>
      </w:r>
      <w:r w:rsidRPr="001D013F">
        <w:t>. 2017;40(2):184</w:t>
      </w:r>
      <w:r>
        <w:t>–</w:t>
      </w:r>
      <w:r w:rsidRPr="001D013F">
        <w:t>193</w:t>
      </w:r>
    </w:p>
    <w:p w14:paraId="08D2C696" w14:textId="2CF82F3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Jackson CS, </w:t>
      </w:r>
      <w:proofErr w:type="spellStart"/>
      <w:r w:rsidRPr="001D013F">
        <w:t>Gracia</w:t>
      </w:r>
      <w:proofErr w:type="spellEnd"/>
      <w:r w:rsidRPr="001D013F">
        <w:t xml:space="preserve"> JN. Addressing health and health-care disparities: the role of a diverse workforce and the social determinants of health. </w:t>
      </w:r>
      <w:r w:rsidRPr="00316B2F">
        <w:rPr>
          <w:i/>
          <w:iCs/>
        </w:rPr>
        <w:t>Public Health Rep</w:t>
      </w:r>
      <w:r w:rsidRPr="001D013F">
        <w:t>. 2014;129(</w:t>
      </w:r>
      <w:r>
        <w:t>s</w:t>
      </w:r>
      <w:r w:rsidRPr="001D013F">
        <w:t>uppl 2):57</w:t>
      </w:r>
      <w:r>
        <w:t>–</w:t>
      </w:r>
      <w:r w:rsidRPr="001D013F">
        <w:t>61</w:t>
      </w:r>
    </w:p>
    <w:p w14:paraId="19191514" w14:textId="4838BBBB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American Public Health Association. APHA </w:t>
      </w:r>
      <w:r>
        <w:t>p</w:t>
      </w:r>
      <w:r w:rsidRPr="001D013F">
        <w:t xml:space="preserve">olicy </w:t>
      </w:r>
      <w:r>
        <w:t>s</w:t>
      </w:r>
      <w:r w:rsidRPr="001D013F">
        <w:t xml:space="preserve">tatement: </w:t>
      </w:r>
      <w:r>
        <w:t>i</w:t>
      </w:r>
      <w:r w:rsidRPr="001D013F">
        <w:t xml:space="preserve">mproving </w:t>
      </w:r>
      <w:r>
        <w:t>h</w:t>
      </w:r>
      <w:r w:rsidRPr="001D013F">
        <w:t xml:space="preserve">ealth and </w:t>
      </w:r>
      <w:r>
        <w:t>w</w:t>
      </w:r>
      <w:r w:rsidRPr="001D013F">
        <w:t xml:space="preserve">ellness through </w:t>
      </w:r>
      <w:r>
        <w:t>a</w:t>
      </w:r>
      <w:r w:rsidRPr="001D013F">
        <w:t xml:space="preserve">ccess to </w:t>
      </w:r>
      <w:r>
        <w:t>n</w:t>
      </w:r>
      <w:r w:rsidRPr="001D013F">
        <w:t>ature.</w:t>
      </w:r>
      <w:r>
        <w:t xml:space="preserve"> Available at:</w:t>
      </w:r>
      <w:r w:rsidRPr="001D013F">
        <w:t xml:space="preserve"> </w:t>
      </w:r>
      <w:hyperlink r:id="rId24" w:history="1">
        <w:r w:rsidRPr="00D85947">
          <w:rPr>
            <w:rStyle w:val="Hyperlink"/>
          </w:rPr>
          <w:t>https://www.apha.org/policies-and-advocacy/public-health-policy-statements/policy-database/2014/07/08/09/18/improving-health-and-wellness-through-access-to-nature</w:t>
        </w:r>
      </w:hyperlink>
      <w:r>
        <w:t xml:space="preserve">. </w:t>
      </w:r>
      <w:r w:rsidRPr="001D013F">
        <w:t>Accessed September 2, 2020</w:t>
      </w:r>
    </w:p>
    <w:p w14:paraId="724A56A9" w14:textId="4AA6A9DE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Schell CJ, Dyson K, Fuentes TL, et al. The ecological and evolutionary consequences of systemic racism in urban environments. </w:t>
      </w:r>
      <w:r w:rsidRPr="00316B2F">
        <w:rPr>
          <w:i/>
          <w:iCs/>
        </w:rPr>
        <w:t>Science</w:t>
      </w:r>
      <w:r w:rsidRPr="001D013F">
        <w:t>. 2020;369(6510</w:t>
      </w:r>
      <w:proofErr w:type="gramStart"/>
      <w:r w:rsidRPr="001D013F">
        <w:t>):eaay</w:t>
      </w:r>
      <w:proofErr w:type="gramEnd"/>
      <w:r w:rsidRPr="001D013F">
        <w:t>4497</w:t>
      </w:r>
    </w:p>
    <w:p w14:paraId="28EB8CA7" w14:textId="262D2E4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Farrer L, Marinetti C, Cavaco YK, </w:t>
      </w:r>
      <w:proofErr w:type="spellStart"/>
      <w:r w:rsidRPr="001D013F">
        <w:t>Costongs</w:t>
      </w:r>
      <w:proofErr w:type="spellEnd"/>
      <w:r w:rsidRPr="001D013F">
        <w:t xml:space="preserve"> C. Advocacy for health equity: A synthesis review. </w:t>
      </w:r>
      <w:r w:rsidRPr="00316B2F">
        <w:rPr>
          <w:i/>
          <w:iCs/>
        </w:rPr>
        <w:t>Milbank Q</w:t>
      </w:r>
      <w:r w:rsidRPr="001D013F">
        <w:t>. 2015;93(2):392</w:t>
      </w:r>
      <w:r>
        <w:t>–</w:t>
      </w:r>
      <w:r w:rsidRPr="001D013F">
        <w:t>437</w:t>
      </w:r>
    </w:p>
    <w:p w14:paraId="6F7FB4DD" w14:textId="2E5609DA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>
        <w:t xml:space="preserve">Maryland State Archives. </w:t>
      </w:r>
      <w:r w:rsidRPr="001D013F">
        <w:t xml:space="preserve">Task </w:t>
      </w:r>
      <w:r>
        <w:t>f</w:t>
      </w:r>
      <w:r w:rsidRPr="001D013F">
        <w:t xml:space="preserve">orce on the </w:t>
      </w:r>
      <w:r>
        <w:t>s</w:t>
      </w:r>
      <w:r w:rsidRPr="001D013F">
        <w:t xml:space="preserve">ocial </w:t>
      </w:r>
      <w:r>
        <w:t>d</w:t>
      </w:r>
      <w:r w:rsidRPr="001D013F">
        <w:t xml:space="preserve">eterminants of </w:t>
      </w:r>
      <w:r>
        <w:t>h</w:t>
      </w:r>
      <w:r w:rsidRPr="001D013F">
        <w:t>ealth in Baltimore City.</w:t>
      </w:r>
      <w:r>
        <w:t xml:space="preserve"> Available at: </w:t>
      </w:r>
      <w:hyperlink r:id="rId25" w:history="1">
        <w:r w:rsidRPr="00D85947">
          <w:rPr>
            <w:rStyle w:val="Hyperlink"/>
          </w:rPr>
          <w:t>https://msa.maryland.gov/msa/mdmanual/26excom/html/04bcitysocial.html</w:t>
        </w:r>
      </w:hyperlink>
      <w:r>
        <w:t xml:space="preserve">. </w:t>
      </w:r>
      <w:r w:rsidRPr="001D013F">
        <w:t>Accessed January 3, 2020</w:t>
      </w:r>
    </w:p>
    <w:p w14:paraId="114A6618" w14:textId="35C4CDC8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proofErr w:type="spellStart"/>
      <w:r w:rsidRPr="001D013F">
        <w:t>Kendi</w:t>
      </w:r>
      <w:proofErr w:type="spellEnd"/>
      <w:r>
        <w:t xml:space="preserve"> I</w:t>
      </w:r>
      <w:r w:rsidRPr="001D013F">
        <w:t xml:space="preserve">X. </w:t>
      </w:r>
      <w:r w:rsidRPr="00316B2F">
        <w:rPr>
          <w:i/>
          <w:iCs/>
        </w:rPr>
        <w:t>How to Be an Antiracist</w:t>
      </w:r>
      <w:r w:rsidRPr="001D013F">
        <w:t xml:space="preserve">. </w:t>
      </w:r>
      <w:r>
        <w:t xml:space="preserve">London, United Kingdom: </w:t>
      </w:r>
      <w:r w:rsidRPr="001D013F">
        <w:t>One World; 2019</w:t>
      </w:r>
    </w:p>
    <w:p w14:paraId="6E3B5818" w14:textId="5A174679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Berwick DM. The moral determinants of health. </w:t>
      </w:r>
      <w:r w:rsidRPr="00316B2F">
        <w:rPr>
          <w:i/>
          <w:iCs/>
        </w:rPr>
        <w:t>JAMA</w:t>
      </w:r>
      <w:r w:rsidRPr="001D013F">
        <w:t xml:space="preserve">. </w:t>
      </w:r>
      <w:r>
        <w:t>2020;324(3):225–226</w:t>
      </w:r>
    </w:p>
    <w:p w14:paraId="75AF8574" w14:textId="49F78179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Marmot M, Friel S, Bell R, </w:t>
      </w:r>
      <w:proofErr w:type="spellStart"/>
      <w:r w:rsidRPr="001D013F">
        <w:t>Houweling</w:t>
      </w:r>
      <w:proofErr w:type="spellEnd"/>
      <w:r w:rsidRPr="001D013F">
        <w:t xml:space="preserve"> TA, Taylor S. Closing the gap in a generation: health equity through action on the social determinants of health. </w:t>
      </w:r>
      <w:r w:rsidRPr="00707E87">
        <w:rPr>
          <w:i/>
          <w:iCs/>
        </w:rPr>
        <w:t>Lancet</w:t>
      </w:r>
      <w:r w:rsidRPr="001D013F">
        <w:t>. 2008;372(9650):1661</w:t>
      </w:r>
      <w:r>
        <w:t>–</w:t>
      </w:r>
      <w:r w:rsidRPr="001D013F">
        <w:t>1669</w:t>
      </w:r>
    </w:p>
    <w:p w14:paraId="699FB357" w14:textId="372EDFEA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Blas E, Gilson L, Kelly MP, et al. Addressing social determinants of health inequities: what can the state and civil society do? </w:t>
      </w:r>
      <w:r w:rsidRPr="00707E87">
        <w:rPr>
          <w:i/>
          <w:iCs/>
        </w:rPr>
        <w:t>Lancet</w:t>
      </w:r>
      <w:r w:rsidRPr="001D013F">
        <w:t>. 2008;372(9650):1684</w:t>
      </w:r>
      <w:r>
        <w:t>–</w:t>
      </w:r>
      <w:r w:rsidRPr="001D013F">
        <w:t>1689</w:t>
      </w:r>
    </w:p>
    <w:p w14:paraId="2EB008B8" w14:textId="1C50EF7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Health Care Without Harm. </w:t>
      </w:r>
      <w:r>
        <w:t xml:space="preserve">Leading the global movement for environmentally responsible health care. Available at: </w:t>
      </w:r>
      <w:hyperlink r:id="rId26" w:history="1">
        <w:r w:rsidRPr="00D85947">
          <w:rPr>
            <w:rStyle w:val="Hyperlink"/>
          </w:rPr>
          <w:t>https://noharm.org/</w:t>
        </w:r>
      </w:hyperlink>
      <w:r>
        <w:t xml:space="preserve">. </w:t>
      </w:r>
      <w:r w:rsidRPr="001D013F">
        <w:t>Accessed December 30, 2019</w:t>
      </w:r>
    </w:p>
    <w:p w14:paraId="324B34D7" w14:textId="6800ACA8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>Bennett H, Macmillan A, Jones R, Blaiklock A, McMillan J. Should health professionals participate in civil disobedience in response to the climate change health emergency?</w:t>
      </w:r>
      <w:r>
        <w:t xml:space="preserve"> [published correction appears in </w:t>
      </w:r>
      <w:r>
        <w:rPr>
          <w:i/>
          <w:iCs/>
        </w:rPr>
        <w:t>Lancet</w:t>
      </w:r>
      <w:r>
        <w:t>. 2020;395(10228</w:t>
      </w:r>
      <w:proofErr w:type="gramStart"/>
      <w:r>
        <w:t>):e</w:t>
      </w:r>
      <w:proofErr w:type="gramEnd"/>
      <w:r>
        <w:t>53].</w:t>
      </w:r>
      <w:r w:rsidRPr="001D013F">
        <w:t xml:space="preserve"> </w:t>
      </w:r>
      <w:r w:rsidRPr="00707E87">
        <w:rPr>
          <w:i/>
          <w:iCs/>
        </w:rPr>
        <w:t>Lancet</w:t>
      </w:r>
      <w:r w:rsidRPr="001D013F">
        <w:t>. 2</w:t>
      </w:r>
      <w:r>
        <w:t>020;395(10220):304–308</w:t>
      </w:r>
    </w:p>
    <w:p w14:paraId="0A36E637" w14:textId="7CEC9AD8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Solomon CG, LaRocque RC. Climate change - a health emergency. </w:t>
      </w:r>
      <w:r w:rsidRPr="00707E87">
        <w:rPr>
          <w:i/>
          <w:iCs/>
        </w:rPr>
        <w:t xml:space="preserve">N </w:t>
      </w:r>
      <w:proofErr w:type="spellStart"/>
      <w:r w:rsidRPr="00707E87">
        <w:rPr>
          <w:i/>
          <w:iCs/>
        </w:rPr>
        <w:t>Engl</w:t>
      </w:r>
      <w:proofErr w:type="spellEnd"/>
      <w:r w:rsidRPr="00707E87">
        <w:rPr>
          <w:i/>
          <w:iCs/>
        </w:rPr>
        <w:t xml:space="preserve"> J Med</w:t>
      </w:r>
      <w:r w:rsidRPr="001D013F">
        <w:t>. 2019;380(3):209</w:t>
      </w:r>
      <w:r>
        <w:t>–</w:t>
      </w:r>
      <w:r w:rsidRPr="001D013F">
        <w:t>211</w:t>
      </w:r>
    </w:p>
    <w:p w14:paraId="772A71BE" w14:textId="1BFD4D4D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Haines A, </w:t>
      </w:r>
      <w:proofErr w:type="spellStart"/>
      <w:r w:rsidRPr="001D013F">
        <w:t>Ebi</w:t>
      </w:r>
      <w:proofErr w:type="spellEnd"/>
      <w:r w:rsidRPr="001D013F">
        <w:t xml:space="preserve"> K. The imperative for climate action to protect health. </w:t>
      </w:r>
      <w:r w:rsidRPr="00707E87">
        <w:rPr>
          <w:i/>
          <w:iCs/>
        </w:rPr>
        <w:t xml:space="preserve">N </w:t>
      </w:r>
      <w:proofErr w:type="spellStart"/>
      <w:r w:rsidRPr="00707E87">
        <w:rPr>
          <w:i/>
          <w:iCs/>
        </w:rPr>
        <w:t>Engl</w:t>
      </w:r>
      <w:proofErr w:type="spellEnd"/>
      <w:r w:rsidRPr="00707E87">
        <w:rPr>
          <w:i/>
          <w:iCs/>
        </w:rPr>
        <w:t xml:space="preserve"> J Med</w:t>
      </w:r>
      <w:r w:rsidRPr="001D013F">
        <w:t>. 2019;380(3):263</w:t>
      </w:r>
      <w:r>
        <w:t>–</w:t>
      </w:r>
      <w:r w:rsidRPr="001D013F">
        <w:t>273</w:t>
      </w:r>
    </w:p>
    <w:p w14:paraId="325A74D8" w14:textId="5F8B4E20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Jones CP. Toward the science and practice of anti-racism: Launching a national campaign against racism. </w:t>
      </w:r>
      <w:proofErr w:type="spellStart"/>
      <w:r w:rsidRPr="00707E87">
        <w:rPr>
          <w:i/>
          <w:iCs/>
        </w:rPr>
        <w:t>Ethn</w:t>
      </w:r>
      <w:proofErr w:type="spellEnd"/>
      <w:r w:rsidRPr="00707E87">
        <w:rPr>
          <w:i/>
          <w:iCs/>
        </w:rPr>
        <w:t xml:space="preserve"> Dis</w:t>
      </w:r>
      <w:r w:rsidRPr="001D013F">
        <w:t>. 2018;28(</w:t>
      </w:r>
      <w:r>
        <w:t>s</w:t>
      </w:r>
      <w:r w:rsidRPr="001D013F">
        <w:t>uppl 1):231</w:t>
      </w:r>
      <w:r>
        <w:t>–</w:t>
      </w:r>
      <w:r w:rsidRPr="001D013F">
        <w:t>234</w:t>
      </w:r>
    </w:p>
    <w:p w14:paraId="53414ED2" w14:textId="7E410294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Kelleher K, Reece J, Sandel M. The Healthy Neighborhood, Healthy Families </w:t>
      </w:r>
      <w:r>
        <w:t>i</w:t>
      </w:r>
      <w:r w:rsidRPr="001D013F">
        <w:t xml:space="preserve">nitiative. </w:t>
      </w:r>
      <w:r w:rsidRPr="00707E87">
        <w:rPr>
          <w:i/>
          <w:iCs/>
        </w:rPr>
        <w:t>Pediatrics</w:t>
      </w:r>
      <w:r w:rsidRPr="001D013F">
        <w:t>. 2018;142(3</w:t>
      </w:r>
      <w:proofErr w:type="gramStart"/>
      <w:r w:rsidRPr="001D013F">
        <w:t>):e</w:t>
      </w:r>
      <w:proofErr w:type="gramEnd"/>
      <w:r w:rsidRPr="001D013F">
        <w:t>20180261</w:t>
      </w:r>
    </w:p>
    <w:p w14:paraId="0B79ABA7" w14:textId="1F0CE99E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U.S. Department of Housing and Urban Development. Stamford Hospital anchors the Vita Health and Wellness District. </w:t>
      </w:r>
      <w:r>
        <w:t xml:space="preserve">Available at: </w:t>
      </w:r>
      <w:hyperlink r:id="rId27" w:history="1">
        <w:r w:rsidRPr="00D85947">
          <w:rPr>
            <w:rStyle w:val="Hyperlink"/>
          </w:rPr>
          <w:t>https://www.huduser.gov/portal/casestudies/study-041618.html</w:t>
        </w:r>
      </w:hyperlink>
      <w:r>
        <w:t xml:space="preserve">. </w:t>
      </w:r>
      <w:r w:rsidRPr="001D013F">
        <w:t>Accessed February 4, 2020</w:t>
      </w:r>
    </w:p>
    <w:p w14:paraId="55BAE595" w14:textId="4D6B23F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Coates T. The case for reparations. </w:t>
      </w:r>
      <w:r w:rsidRPr="00707E87">
        <w:rPr>
          <w:i/>
          <w:iCs/>
        </w:rPr>
        <w:t>The Atlantic</w:t>
      </w:r>
      <w:r w:rsidRPr="001D013F">
        <w:t xml:space="preserve">. </w:t>
      </w:r>
      <w:r>
        <w:t xml:space="preserve">Available online at: </w:t>
      </w:r>
      <w:hyperlink r:id="rId28" w:history="1">
        <w:r w:rsidRPr="00D85947">
          <w:rPr>
            <w:rStyle w:val="Hyperlink"/>
          </w:rPr>
          <w:t>https://www.theatlantic.com/magazine/archive/2014/06/the-case-for-reparations/361631/</w:t>
        </w:r>
      </w:hyperlink>
      <w:r w:rsidRPr="001D013F">
        <w:t>.</w:t>
      </w:r>
      <w:r>
        <w:t xml:space="preserve"> Accessed October 21, 2020</w:t>
      </w:r>
    </w:p>
    <w:p w14:paraId="7E065CA4" w14:textId="2250C00F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lastRenderedPageBreak/>
        <w:t xml:space="preserve">Brooks D. The case for reparations: A slow convert to the cause. </w:t>
      </w:r>
      <w:r w:rsidRPr="00707E87">
        <w:rPr>
          <w:i/>
          <w:iCs/>
        </w:rPr>
        <w:t>The New York Times</w:t>
      </w:r>
      <w:r w:rsidRPr="001D013F">
        <w:t xml:space="preserve">. </w:t>
      </w:r>
      <w:r>
        <w:t xml:space="preserve">Available online at: </w:t>
      </w:r>
      <w:hyperlink r:id="rId29" w:history="1">
        <w:r w:rsidRPr="00D85947">
          <w:rPr>
            <w:rStyle w:val="Hyperlink"/>
          </w:rPr>
          <w:t>https://www.nytimes.com/2019/03/07/opinion/case-for-reparations.html</w:t>
        </w:r>
      </w:hyperlink>
      <w:r w:rsidRPr="001D013F">
        <w:t>.</w:t>
      </w:r>
      <w:r>
        <w:t xml:space="preserve"> Accessed October 21, 2020</w:t>
      </w:r>
    </w:p>
    <w:p w14:paraId="551D05C6" w14:textId="0EE4D1CC" w:rsidR="00A9108D" w:rsidRPr="001D013F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Hannah-Jones N. What is owed. </w:t>
      </w:r>
      <w:r w:rsidRPr="00707E87">
        <w:rPr>
          <w:i/>
          <w:iCs/>
        </w:rPr>
        <w:t>The New York Times</w:t>
      </w:r>
      <w:r>
        <w:t xml:space="preserve">. Available online at: </w:t>
      </w:r>
      <w:hyperlink r:id="rId30" w:history="1">
        <w:r w:rsidRPr="00D85947">
          <w:rPr>
            <w:rStyle w:val="Hyperlink"/>
          </w:rPr>
          <w:t>https://www.nytimes.com/interactive/2020/06/24/magazine/reparations-slavery.html</w:t>
        </w:r>
      </w:hyperlink>
      <w:r w:rsidRPr="001D013F">
        <w:t>.</w:t>
      </w:r>
      <w:r>
        <w:t xml:space="preserve"> Accessed October 21, 2020</w:t>
      </w:r>
    </w:p>
    <w:p w14:paraId="5573630E" w14:textId="7B514A7C" w:rsidR="00A9108D" w:rsidRPr="00CC613B" w:rsidRDefault="00A9108D" w:rsidP="00431FB5">
      <w:pPr>
        <w:pStyle w:val="Bibliography"/>
        <w:numPr>
          <w:ilvl w:val="0"/>
          <w:numId w:val="19"/>
        </w:numPr>
        <w:tabs>
          <w:tab w:val="clear" w:pos="384"/>
          <w:tab w:val="left" w:pos="360"/>
        </w:tabs>
      </w:pPr>
      <w:r w:rsidRPr="001D013F">
        <w:t xml:space="preserve">Darity Jr. WA, Mullen AK. </w:t>
      </w:r>
      <w:r w:rsidRPr="00707E87">
        <w:rPr>
          <w:i/>
          <w:iCs/>
        </w:rPr>
        <w:t>From Here to Equality: Reparations for Black Americans in the Twenty-First Century</w:t>
      </w:r>
      <w:r w:rsidRPr="001D013F">
        <w:t>.</w:t>
      </w:r>
      <w:r>
        <w:t xml:space="preserve"> Chapel Hill, NC:</w:t>
      </w:r>
      <w:r w:rsidRPr="001D013F">
        <w:t xml:space="preserve"> The University of North Carolina Press; 2020</w:t>
      </w:r>
    </w:p>
    <w:p w14:paraId="5DB0BD79" w14:textId="77777777" w:rsidR="00146E65" w:rsidRDefault="00146E65" w:rsidP="00146E65">
      <w:pPr>
        <w:rPr>
          <w:rFonts w:cstheme="minorHAnsi"/>
        </w:rPr>
      </w:pPr>
    </w:p>
    <w:p w14:paraId="08B7D816" w14:textId="394B038E" w:rsidR="00146E65" w:rsidRPr="00E31EAF" w:rsidRDefault="00146E65" w:rsidP="00146E65">
      <w:pPr>
        <w:rPr>
          <w:rFonts w:cstheme="minorHAnsi"/>
        </w:rPr>
      </w:pPr>
      <w:r w:rsidRPr="00E31EAF">
        <w:rPr>
          <w:rFonts w:cstheme="minorHAnsi"/>
        </w:rPr>
        <w:t xml:space="preserve">The Potentially Better Practices are revised and annotated from a list first published with the permission of Vermont Oxford Network as an appendix in: Beck AF, Edwards EM, Horbar JD, Howell EA, McCormick MC, Pursley DM. The color of health: how racism, segregation, and inequality affect the health and well-being of preterm infants and their families. </w:t>
      </w:r>
      <w:proofErr w:type="spellStart"/>
      <w:r w:rsidRPr="00146E65">
        <w:rPr>
          <w:rFonts w:cstheme="minorHAnsi"/>
          <w:i/>
          <w:iCs/>
        </w:rPr>
        <w:t>Pediatr</w:t>
      </w:r>
      <w:proofErr w:type="spellEnd"/>
      <w:r w:rsidRPr="00146E65">
        <w:rPr>
          <w:rFonts w:cstheme="minorHAnsi"/>
          <w:i/>
          <w:iCs/>
        </w:rPr>
        <w:t xml:space="preserve"> Res</w:t>
      </w:r>
      <w:r w:rsidRPr="00E31EAF">
        <w:rPr>
          <w:rFonts w:cstheme="minorHAnsi"/>
        </w:rPr>
        <w:t xml:space="preserve">. </w:t>
      </w:r>
      <w:r>
        <w:rPr>
          <w:rFonts w:cstheme="minorHAnsi"/>
        </w:rPr>
        <w:t>2020;87(2):227-234</w:t>
      </w:r>
      <w:r w:rsidRPr="00E31EAF">
        <w:rPr>
          <w:rFonts w:cstheme="minorHAnsi"/>
        </w:rPr>
        <w:t xml:space="preserve">. </w:t>
      </w:r>
    </w:p>
    <w:p w14:paraId="0FE97E84" w14:textId="7DC0DF52" w:rsidR="00146E65" w:rsidRPr="00571093" w:rsidRDefault="00146E65" w:rsidP="00146E65">
      <w:pPr>
        <w:rPr>
          <w:rFonts w:cstheme="minorHAnsi"/>
        </w:rPr>
      </w:pPr>
      <w:r>
        <w:rPr>
          <w:rFonts w:cstheme="minorHAnsi"/>
        </w:rPr>
        <w:t>They also appear</w:t>
      </w:r>
      <w:r w:rsidRPr="00E31EAF">
        <w:rPr>
          <w:rFonts w:cstheme="minorHAnsi"/>
        </w:rPr>
        <w:t xml:space="preserve"> as a Supplement in: Horbar JD, Edwards EM, Ogbolu Y. Our </w:t>
      </w:r>
      <w:r>
        <w:rPr>
          <w:rFonts w:cstheme="minorHAnsi"/>
        </w:rPr>
        <w:t>r</w:t>
      </w:r>
      <w:r w:rsidRPr="00E31EAF">
        <w:rPr>
          <w:rFonts w:cstheme="minorHAnsi"/>
        </w:rPr>
        <w:t>esponsibility to “</w:t>
      </w:r>
      <w:r>
        <w:rPr>
          <w:rFonts w:cstheme="minorHAnsi"/>
        </w:rPr>
        <w:t>f</w:t>
      </w:r>
      <w:r w:rsidRPr="00E31EAF">
        <w:rPr>
          <w:rFonts w:cstheme="minorHAnsi"/>
        </w:rPr>
        <w:t xml:space="preserve">ollow </w:t>
      </w:r>
      <w:r>
        <w:rPr>
          <w:rFonts w:cstheme="minorHAnsi"/>
        </w:rPr>
        <w:t>t</w:t>
      </w:r>
      <w:r w:rsidRPr="00E31EAF">
        <w:rPr>
          <w:rFonts w:cstheme="minorHAnsi"/>
        </w:rPr>
        <w:t xml:space="preserve">hrough” for NICU </w:t>
      </w:r>
      <w:r>
        <w:rPr>
          <w:rFonts w:cstheme="minorHAnsi"/>
        </w:rPr>
        <w:t>i</w:t>
      </w:r>
      <w:r w:rsidRPr="00E31EAF">
        <w:rPr>
          <w:rFonts w:cstheme="minorHAnsi"/>
        </w:rPr>
        <w:t xml:space="preserve">nfants and </w:t>
      </w:r>
      <w:r>
        <w:rPr>
          <w:rFonts w:cstheme="minorHAnsi"/>
        </w:rPr>
        <w:t>t</w:t>
      </w:r>
      <w:r w:rsidRPr="00E31EAF">
        <w:rPr>
          <w:rFonts w:cstheme="minorHAnsi"/>
        </w:rPr>
        <w:t xml:space="preserve">heir </w:t>
      </w:r>
      <w:r>
        <w:rPr>
          <w:rFonts w:cstheme="minorHAnsi"/>
        </w:rPr>
        <w:t>f</w:t>
      </w:r>
      <w:r w:rsidRPr="00E31EAF">
        <w:rPr>
          <w:rFonts w:cstheme="minorHAnsi"/>
        </w:rPr>
        <w:t xml:space="preserve">amilies. </w:t>
      </w:r>
      <w:r w:rsidRPr="00146E65">
        <w:rPr>
          <w:rFonts w:cstheme="minorHAnsi"/>
          <w:i/>
          <w:iCs/>
        </w:rPr>
        <w:t>Pediatrics</w:t>
      </w:r>
      <w:r w:rsidRPr="00E31EAF">
        <w:rPr>
          <w:rFonts w:cstheme="minorHAnsi"/>
        </w:rPr>
        <w:t xml:space="preserve">. </w:t>
      </w:r>
      <w:r w:rsidRPr="00A56F73">
        <w:rPr>
          <w:rFonts w:cstheme="minorHAnsi"/>
        </w:rPr>
        <w:t>2020</w:t>
      </w:r>
      <w:r>
        <w:rPr>
          <w:rFonts w:cstheme="minorHAnsi"/>
        </w:rPr>
        <w:t>. doi</w:t>
      </w:r>
      <w:r>
        <w:rPr>
          <w:rFonts w:cstheme="minorHAnsi"/>
        </w:rPr>
        <w:t>:</w:t>
      </w:r>
      <w:r w:rsidRPr="00A56F73">
        <w:rPr>
          <w:rFonts w:cstheme="minorHAnsi"/>
        </w:rPr>
        <w:t>10.1542/peds.2020-0360</w:t>
      </w:r>
      <w:r w:rsidRPr="00E31EAF">
        <w:rPr>
          <w:rFonts w:cstheme="minorHAnsi"/>
        </w:rPr>
        <w:t>.</w:t>
      </w:r>
    </w:p>
    <w:p w14:paraId="0BA7531B" w14:textId="77777777" w:rsidR="00146E65" w:rsidRPr="00571093" w:rsidRDefault="00146E65" w:rsidP="00146E65">
      <w:pPr>
        <w:spacing w:after="0"/>
        <w:jc w:val="center"/>
        <w:rPr>
          <w:rFonts w:cstheme="minorHAnsi"/>
          <w:b/>
          <w:bCs/>
        </w:rPr>
      </w:pPr>
      <w:r w:rsidRPr="00571093">
        <w:rPr>
          <w:rFonts w:cstheme="minorHAnsi"/>
          <w:b/>
          <w:bCs/>
        </w:rPr>
        <w:t xml:space="preserve"> </w:t>
      </w:r>
      <w:bookmarkStart w:id="5" w:name="_Hlk24463440"/>
    </w:p>
    <w:p w14:paraId="2D2BF024" w14:textId="77777777" w:rsidR="00146E65" w:rsidRPr="00571093" w:rsidRDefault="00146E65" w:rsidP="00146E65">
      <w:pPr>
        <w:rPr>
          <w:rFonts w:cstheme="minorHAnsi"/>
          <w:b/>
          <w:bCs/>
        </w:rPr>
      </w:pPr>
      <w:r w:rsidRPr="00571093">
        <w:rPr>
          <w:rFonts w:cstheme="minorHAnsi"/>
          <w:b/>
          <w:bCs/>
        </w:rPr>
        <w:br w:type="page"/>
      </w:r>
    </w:p>
    <w:p w14:paraId="09A84F30" w14:textId="77777777" w:rsidR="00146E65" w:rsidRPr="00571093" w:rsidRDefault="00146E65" w:rsidP="00146E65">
      <w:pPr>
        <w:spacing w:after="0"/>
        <w:jc w:val="center"/>
        <w:rPr>
          <w:rFonts w:cstheme="minorHAnsi"/>
          <w:b/>
          <w:bCs/>
        </w:rPr>
      </w:pPr>
      <w:bookmarkStart w:id="6" w:name="_Hlk31369783"/>
      <w:r w:rsidRPr="00571093">
        <w:rPr>
          <w:rFonts w:cstheme="minorHAnsi"/>
          <w:b/>
          <w:bCs/>
        </w:rPr>
        <w:t>This work is licensed by Vermont Oxford Network under a Creative Commons</w:t>
      </w:r>
    </w:p>
    <w:p w14:paraId="18F2A5D1" w14:textId="77777777" w:rsidR="00146E65" w:rsidRPr="00571093" w:rsidRDefault="00146E65" w:rsidP="00146E65">
      <w:pPr>
        <w:spacing w:after="0"/>
        <w:jc w:val="center"/>
        <w:rPr>
          <w:rFonts w:cstheme="minorHAnsi"/>
          <w:b/>
          <w:bCs/>
        </w:rPr>
      </w:pPr>
      <w:r w:rsidRPr="00571093">
        <w:rPr>
          <w:rFonts w:cstheme="minorHAnsi"/>
          <w:b/>
          <w:bCs/>
        </w:rPr>
        <w:t>Attribution-</w:t>
      </w:r>
      <w:proofErr w:type="spellStart"/>
      <w:r w:rsidRPr="00571093">
        <w:rPr>
          <w:rFonts w:cstheme="minorHAnsi"/>
          <w:b/>
          <w:bCs/>
        </w:rPr>
        <w:t>NonCommercial</w:t>
      </w:r>
      <w:proofErr w:type="spellEnd"/>
      <w:r w:rsidRPr="00571093">
        <w:rPr>
          <w:rFonts w:cstheme="minorHAnsi"/>
          <w:b/>
          <w:bCs/>
        </w:rPr>
        <w:t xml:space="preserve"> 4.0 International License</w:t>
      </w:r>
    </w:p>
    <w:bookmarkEnd w:id="5"/>
    <w:p w14:paraId="2FCFF5B1" w14:textId="77777777" w:rsidR="00146E65" w:rsidRPr="00571093" w:rsidRDefault="00146E65" w:rsidP="00146E65">
      <w:pPr>
        <w:spacing w:after="0"/>
        <w:rPr>
          <w:rFonts w:cstheme="minorHAnsi"/>
          <w:b/>
          <w:bCs/>
        </w:rPr>
      </w:pPr>
    </w:p>
    <w:p w14:paraId="58115051" w14:textId="33304442" w:rsidR="00146E65" w:rsidRPr="00571093" w:rsidRDefault="00146E65" w:rsidP="00146E65">
      <w:pPr>
        <w:spacing w:after="0"/>
        <w:jc w:val="center"/>
        <w:rPr>
          <w:rFonts w:cstheme="minorHAnsi"/>
        </w:rPr>
      </w:pPr>
      <w:r w:rsidRPr="00571093">
        <w:rPr>
          <w:rFonts w:cstheme="minorHAnsi"/>
          <w:noProof/>
        </w:rPr>
        <w:drawing>
          <wp:inline distT="0" distB="0" distL="0" distR="0" wp14:anchorId="740B7C0F" wp14:editId="77A34DD3">
            <wp:extent cx="1042035" cy="369449"/>
            <wp:effectExtent l="0" t="0" r="5715" b="0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19" cy="3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20C9" w14:textId="77777777" w:rsidR="00146E65" w:rsidRPr="00571093" w:rsidRDefault="00146E65" w:rsidP="00146E6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571093">
        <w:rPr>
          <w:rFonts w:eastAsia="Times New Roman" w:cstheme="minorHAnsi"/>
          <w:b/>
          <w:bCs/>
        </w:rPr>
        <w:t>Under the following terms:</w:t>
      </w:r>
    </w:p>
    <w:p w14:paraId="494D89A6" w14:textId="77777777" w:rsidR="00146E65" w:rsidRPr="00571093" w:rsidRDefault="00146E65" w:rsidP="00146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1093">
        <w:rPr>
          <w:rFonts w:eastAsia="Times New Roman" w:cstheme="minorHAnsi"/>
          <w:b/>
          <w:bCs/>
        </w:rPr>
        <w:t>Attribution</w:t>
      </w:r>
      <w:r w:rsidRPr="00571093">
        <w:rPr>
          <w:rFonts w:eastAsia="Times New Roman" w:cstheme="minorHAnsi"/>
        </w:rPr>
        <w:t xml:space="preserve"> — You must give </w:t>
      </w:r>
      <w:hyperlink r:id="rId32" w:history="1">
        <w:r w:rsidRPr="00571093">
          <w:rPr>
            <w:rFonts w:eastAsia="Times New Roman" w:cstheme="minorHAnsi"/>
          </w:rPr>
          <w:t>appropriate credit</w:t>
        </w:r>
      </w:hyperlink>
      <w:r w:rsidRPr="00571093">
        <w:rPr>
          <w:rFonts w:eastAsia="Times New Roman" w:cstheme="minorHAnsi"/>
        </w:rPr>
        <w:t xml:space="preserve">, provide a link to the license, and </w:t>
      </w:r>
      <w:hyperlink r:id="rId33" w:history="1">
        <w:r w:rsidRPr="00571093">
          <w:rPr>
            <w:rFonts w:eastAsia="Times New Roman" w:cstheme="minorHAnsi"/>
          </w:rPr>
          <w:t>indicate if changes were made</w:t>
        </w:r>
      </w:hyperlink>
    </w:p>
    <w:p w14:paraId="3EA67BD9" w14:textId="77777777" w:rsidR="00146E65" w:rsidRPr="00571093" w:rsidRDefault="00146E65" w:rsidP="00146E65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571093">
        <w:rPr>
          <w:rFonts w:eastAsia="Times New Roman" w:cstheme="minorHAnsi"/>
        </w:rPr>
        <w:t xml:space="preserve">You must indicate if you modified the material and retain an indication of previous modifications. </w:t>
      </w:r>
    </w:p>
    <w:p w14:paraId="13EA05CE" w14:textId="77777777" w:rsidR="00146E65" w:rsidRPr="00571093" w:rsidRDefault="00146E65" w:rsidP="00146E65">
      <w:pPr>
        <w:spacing w:beforeAutospacing="1" w:after="0" w:afterAutospacing="1" w:line="240" w:lineRule="auto"/>
        <w:ind w:left="720"/>
        <w:rPr>
          <w:rFonts w:eastAsia="Times New Roman" w:cstheme="minorHAnsi"/>
        </w:rPr>
      </w:pPr>
      <w:r w:rsidRPr="00571093">
        <w:rPr>
          <w:rFonts w:eastAsia="Times New Roman" w:cstheme="minorHAnsi"/>
        </w:rPr>
        <w:t xml:space="preserve">You may do so in any reasonable manner, but not in any way that suggests the licensor endorses you or your use. </w:t>
      </w:r>
    </w:p>
    <w:p w14:paraId="13ED7EBD" w14:textId="77777777" w:rsidR="00146E65" w:rsidRPr="00571093" w:rsidRDefault="00146E65" w:rsidP="00146E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571093">
        <w:rPr>
          <w:rFonts w:eastAsia="Times New Roman" w:cstheme="minorHAnsi"/>
          <w:b/>
          <w:bCs/>
        </w:rPr>
        <w:t>NonCommercial</w:t>
      </w:r>
      <w:proofErr w:type="spellEnd"/>
      <w:r w:rsidRPr="00571093">
        <w:rPr>
          <w:rFonts w:eastAsia="Times New Roman" w:cstheme="minorHAnsi"/>
        </w:rPr>
        <w:t xml:space="preserve"> — You may not use the material for </w:t>
      </w:r>
      <w:hyperlink r:id="rId34" w:history="1">
        <w:r w:rsidRPr="00571093">
          <w:rPr>
            <w:rFonts w:eastAsia="Times New Roman" w:cstheme="minorHAnsi"/>
          </w:rPr>
          <w:t>commercial purposes</w:t>
        </w:r>
      </w:hyperlink>
      <w:r w:rsidRPr="00571093">
        <w:rPr>
          <w:rFonts w:eastAsia="Times New Roman" w:cstheme="minorHAnsi"/>
        </w:rPr>
        <w:t xml:space="preserve">. </w:t>
      </w:r>
    </w:p>
    <w:p w14:paraId="1923D667" w14:textId="77777777" w:rsidR="00146E65" w:rsidRPr="00571093" w:rsidRDefault="00146E65" w:rsidP="00146E65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</w:rPr>
      </w:pPr>
      <w:r w:rsidRPr="00571093">
        <w:rPr>
          <w:rFonts w:eastAsia="Times New Roman" w:cstheme="minorHAnsi"/>
          <w:b/>
          <w:bCs/>
        </w:rPr>
        <w:t>No additional restrictions</w:t>
      </w:r>
      <w:r w:rsidRPr="00571093">
        <w:rPr>
          <w:rFonts w:eastAsia="Times New Roman" w:cstheme="minorHAnsi"/>
        </w:rPr>
        <w:t xml:space="preserve"> — You may not apply legal terms or </w:t>
      </w:r>
      <w:hyperlink r:id="rId35" w:history="1">
        <w:r w:rsidRPr="00571093">
          <w:rPr>
            <w:rFonts w:eastAsia="Times New Roman" w:cstheme="minorHAnsi"/>
          </w:rPr>
          <w:t>technological measures</w:t>
        </w:r>
      </w:hyperlink>
      <w:r w:rsidRPr="00571093">
        <w:rPr>
          <w:rFonts w:eastAsia="Times New Roman" w:cstheme="minorHAnsi"/>
        </w:rPr>
        <w:t xml:space="preserve"> that legally restrict others from doing anything the license permits. </w:t>
      </w:r>
    </w:p>
    <w:p w14:paraId="0EE4FAAC" w14:textId="77777777" w:rsidR="00146E65" w:rsidRPr="00571093" w:rsidRDefault="00146E65" w:rsidP="00146E65">
      <w:pPr>
        <w:pStyle w:val="ListParagraph"/>
        <w:spacing w:after="0"/>
        <w:rPr>
          <w:rFonts w:eastAsia="Times New Roman" w:cstheme="minorHAnsi"/>
        </w:rPr>
      </w:pPr>
    </w:p>
    <w:p w14:paraId="01715661" w14:textId="77777777" w:rsidR="00146E65" w:rsidRPr="00571093" w:rsidRDefault="00146E65" w:rsidP="00146E65">
      <w:pPr>
        <w:spacing w:after="0"/>
        <w:jc w:val="center"/>
        <w:rPr>
          <w:rFonts w:cstheme="minorHAnsi"/>
        </w:rPr>
      </w:pPr>
      <w:r w:rsidRPr="00571093">
        <w:rPr>
          <w:rFonts w:cstheme="minorHAnsi"/>
        </w:rPr>
        <w:t>https://creativecommons.org/licenses/by-nc-sa/4.0</w:t>
      </w:r>
      <w:bookmarkEnd w:id="6"/>
    </w:p>
    <w:p w14:paraId="3366C223" w14:textId="46AC0007" w:rsidR="0042015E" w:rsidRPr="00571093" w:rsidRDefault="0042015E" w:rsidP="00A9108D">
      <w:pPr>
        <w:pStyle w:val="Bibliography"/>
      </w:pPr>
    </w:p>
    <w:sectPr w:rsidR="0042015E" w:rsidRPr="00571093" w:rsidSect="00146E65">
      <w:headerReference w:type="default" r:id="rId36"/>
      <w:footerReference w:type="default" r:id="rId3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E429" w14:textId="77777777" w:rsidR="0035635C" w:rsidRDefault="0035635C" w:rsidP="0034452C">
      <w:pPr>
        <w:spacing w:after="0" w:line="240" w:lineRule="auto"/>
      </w:pPr>
      <w:r>
        <w:separator/>
      </w:r>
    </w:p>
  </w:endnote>
  <w:endnote w:type="continuationSeparator" w:id="0">
    <w:p w14:paraId="34E0BC21" w14:textId="77777777" w:rsidR="0035635C" w:rsidRDefault="0035635C" w:rsidP="0034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7C78" w14:textId="64C25203" w:rsidR="00146E65" w:rsidRPr="00146E65" w:rsidRDefault="00146E65" w:rsidP="00146E65">
    <w:pPr>
      <w:pStyle w:val="Footer"/>
      <w:rPr>
        <w:b/>
        <w:bCs/>
        <w:sz w:val="18"/>
        <w:szCs w:val="18"/>
      </w:rPr>
    </w:pPr>
    <w:r w:rsidRPr="00146E65">
      <w:rPr>
        <w:sz w:val="18"/>
        <w:szCs w:val="18"/>
      </w:rPr>
      <w:t xml:space="preserve">Page </w:t>
    </w:r>
    <w:r w:rsidRPr="00146E65">
      <w:rPr>
        <w:b/>
        <w:bCs/>
        <w:sz w:val="18"/>
        <w:szCs w:val="18"/>
      </w:rPr>
      <w:fldChar w:fldCharType="begin"/>
    </w:r>
    <w:r w:rsidRPr="00146E65">
      <w:rPr>
        <w:b/>
        <w:bCs/>
        <w:sz w:val="18"/>
        <w:szCs w:val="18"/>
      </w:rPr>
      <w:instrText xml:space="preserve"> PAGE  \* Arabic  \* MERGEFORMAT </w:instrText>
    </w:r>
    <w:r w:rsidRPr="00146E65">
      <w:rPr>
        <w:b/>
        <w:bCs/>
        <w:sz w:val="18"/>
        <w:szCs w:val="18"/>
      </w:rPr>
      <w:fldChar w:fldCharType="separate"/>
    </w:r>
    <w:r w:rsidRPr="00146E65">
      <w:rPr>
        <w:b/>
        <w:bCs/>
        <w:noProof/>
        <w:sz w:val="18"/>
        <w:szCs w:val="18"/>
      </w:rPr>
      <w:t>1</w:t>
    </w:r>
    <w:r w:rsidRPr="00146E65">
      <w:rPr>
        <w:b/>
        <w:bCs/>
        <w:sz w:val="18"/>
        <w:szCs w:val="18"/>
      </w:rPr>
      <w:fldChar w:fldCharType="end"/>
    </w:r>
    <w:r w:rsidRPr="00146E65">
      <w:rPr>
        <w:sz w:val="18"/>
        <w:szCs w:val="18"/>
      </w:rPr>
      <w:t xml:space="preserve"> of </w:t>
    </w:r>
    <w:r w:rsidRPr="00146E65">
      <w:rPr>
        <w:b/>
        <w:bCs/>
        <w:sz w:val="18"/>
        <w:szCs w:val="18"/>
      </w:rPr>
      <w:fldChar w:fldCharType="begin"/>
    </w:r>
    <w:r w:rsidRPr="00146E65">
      <w:rPr>
        <w:b/>
        <w:bCs/>
        <w:sz w:val="18"/>
        <w:szCs w:val="18"/>
      </w:rPr>
      <w:instrText xml:space="preserve"> NUMPAGES  \* Arabic  \* MERGEFORMAT </w:instrText>
    </w:r>
    <w:r w:rsidRPr="00146E65">
      <w:rPr>
        <w:b/>
        <w:bCs/>
        <w:sz w:val="18"/>
        <w:szCs w:val="18"/>
      </w:rPr>
      <w:fldChar w:fldCharType="separate"/>
    </w:r>
    <w:r w:rsidRPr="00146E65">
      <w:rPr>
        <w:b/>
        <w:bCs/>
        <w:noProof/>
        <w:sz w:val="18"/>
        <w:szCs w:val="18"/>
      </w:rPr>
      <w:t>2</w:t>
    </w:r>
    <w:r w:rsidRPr="00146E65">
      <w:rPr>
        <w:b/>
        <w:bCs/>
        <w:sz w:val="18"/>
        <w:szCs w:val="18"/>
      </w:rPr>
      <w:fldChar w:fldCharType="end"/>
    </w:r>
    <w:r w:rsidRPr="00146E65">
      <w:rPr>
        <w:b/>
        <w:bCs/>
        <w:sz w:val="18"/>
        <w:szCs w:val="18"/>
      </w:rPr>
      <w:tab/>
    </w:r>
    <w:r w:rsidRPr="00146E65">
      <w:rPr>
        <w:b/>
        <w:bCs/>
        <w:sz w:val="18"/>
        <w:szCs w:val="18"/>
      </w:rPr>
      <w:tab/>
    </w:r>
    <w:r w:rsidRPr="00146E65">
      <w:rPr>
        <w:sz w:val="18"/>
        <w:szCs w:val="18"/>
      </w:rPr>
      <w:t>Last Updated: October 2020</w:t>
    </w:r>
  </w:p>
  <w:p w14:paraId="2290E1B5" w14:textId="2A5AEF45" w:rsidR="00146E65" w:rsidRPr="00146E65" w:rsidRDefault="00146E65" w:rsidP="00146E65">
    <w:pPr>
      <w:pStyle w:val="Footer"/>
      <w:rPr>
        <w:sz w:val="18"/>
        <w:szCs w:val="18"/>
      </w:rPr>
    </w:pPr>
    <w:r>
      <w:rPr>
        <w:sz w:val="18"/>
        <w:szCs w:val="18"/>
      </w:rPr>
      <w:t>L</w:t>
    </w:r>
    <w:r w:rsidRPr="00146E65">
      <w:rPr>
        <w:sz w:val="18"/>
        <w:szCs w:val="18"/>
      </w:rPr>
      <w:t>icensed by Vermont Oxford Network under a Creative Commons Attribution-</w:t>
    </w:r>
    <w:proofErr w:type="spellStart"/>
    <w:r w:rsidRPr="00146E65">
      <w:rPr>
        <w:sz w:val="18"/>
        <w:szCs w:val="18"/>
      </w:rPr>
      <w:t>N</w:t>
    </w:r>
    <w:r w:rsidRPr="00146E65">
      <w:rPr>
        <w:sz w:val="18"/>
        <w:szCs w:val="18"/>
      </w:rPr>
      <w:t>onCommercial</w:t>
    </w:r>
    <w:proofErr w:type="spellEnd"/>
    <w:r w:rsidRPr="00146E65">
      <w:rPr>
        <w:sz w:val="18"/>
        <w:szCs w:val="18"/>
      </w:rPr>
      <w:t xml:space="preserve"> 4.0 International License</w:t>
    </w:r>
  </w:p>
  <w:p w14:paraId="4EDFF4AB" w14:textId="6658E992" w:rsidR="0035635C" w:rsidRDefault="003563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656AE" w14:textId="77777777" w:rsidR="0035635C" w:rsidRDefault="0035635C" w:rsidP="0034452C">
      <w:pPr>
        <w:spacing w:after="0" w:line="240" w:lineRule="auto"/>
      </w:pPr>
      <w:r>
        <w:separator/>
      </w:r>
    </w:p>
  </w:footnote>
  <w:footnote w:type="continuationSeparator" w:id="0">
    <w:p w14:paraId="2AB987AA" w14:textId="77777777" w:rsidR="0035635C" w:rsidRDefault="0035635C" w:rsidP="0034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117E" w14:textId="77777777" w:rsidR="00146E65" w:rsidRPr="001D013F" w:rsidRDefault="00146E65" w:rsidP="00146E65">
    <w:pPr>
      <w:spacing w:after="0"/>
      <w:jc w:val="center"/>
      <w:rPr>
        <w:rFonts w:cstheme="minorHAnsi"/>
        <w:bCs/>
      </w:rPr>
    </w:pPr>
    <w:r w:rsidRPr="001D013F">
      <w:rPr>
        <w:rFonts w:cstheme="minorHAnsi"/>
        <w:b/>
      </w:rPr>
      <w:t>Vermont Oxford Network Potentially Better Practices for Follow</w:t>
    </w:r>
    <w:r>
      <w:rPr>
        <w:rFonts w:cstheme="minorHAnsi"/>
        <w:b/>
      </w:rPr>
      <w:t>-t</w:t>
    </w:r>
    <w:r w:rsidRPr="001D013F">
      <w:rPr>
        <w:rFonts w:cstheme="minorHAnsi"/>
        <w:b/>
      </w:rPr>
      <w:t>hrough</w:t>
    </w:r>
  </w:p>
  <w:p w14:paraId="3FC34768" w14:textId="77777777" w:rsidR="00146E65" w:rsidRDefault="00146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70A2"/>
    <w:multiLevelType w:val="hybridMultilevel"/>
    <w:tmpl w:val="8A3E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11A8"/>
    <w:multiLevelType w:val="hybridMultilevel"/>
    <w:tmpl w:val="34D4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73F"/>
    <w:multiLevelType w:val="hybridMultilevel"/>
    <w:tmpl w:val="578E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2D19"/>
    <w:multiLevelType w:val="multilevel"/>
    <w:tmpl w:val="9842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B3C58"/>
    <w:multiLevelType w:val="hybridMultilevel"/>
    <w:tmpl w:val="70AC06B6"/>
    <w:lvl w:ilvl="0" w:tplc="A89024BA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A0F"/>
    <w:multiLevelType w:val="hybridMultilevel"/>
    <w:tmpl w:val="0D72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16C"/>
    <w:multiLevelType w:val="hybridMultilevel"/>
    <w:tmpl w:val="7EA4E496"/>
    <w:lvl w:ilvl="0" w:tplc="40B03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2113"/>
    <w:multiLevelType w:val="hybridMultilevel"/>
    <w:tmpl w:val="3864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27DA"/>
    <w:multiLevelType w:val="hybridMultilevel"/>
    <w:tmpl w:val="9650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719AF"/>
    <w:multiLevelType w:val="hybridMultilevel"/>
    <w:tmpl w:val="F096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5804"/>
    <w:multiLevelType w:val="hybridMultilevel"/>
    <w:tmpl w:val="AA44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53902"/>
    <w:multiLevelType w:val="hybridMultilevel"/>
    <w:tmpl w:val="6CD49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62815"/>
    <w:multiLevelType w:val="hybridMultilevel"/>
    <w:tmpl w:val="18584F4C"/>
    <w:lvl w:ilvl="0" w:tplc="4C0A94CE">
      <w:start w:val="1"/>
      <w:numFmt w:val="decimal"/>
      <w:lvlText w:val="%1."/>
      <w:lvlJc w:val="righ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3006"/>
    <w:multiLevelType w:val="hybridMultilevel"/>
    <w:tmpl w:val="D7C6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95A"/>
    <w:multiLevelType w:val="hybridMultilevel"/>
    <w:tmpl w:val="5616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A5131"/>
    <w:multiLevelType w:val="hybridMultilevel"/>
    <w:tmpl w:val="94D2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96F90"/>
    <w:multiLevelType w:val="multilevel"/>
    <w:tmpl w:val="484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23095"/>
    <w:multiLevelType w:val="hybridMultilevel"/>
    <w:tmpl w:val="080A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82FDB"/>
    <w:multiLevelType w:val="hybridMultilevel"/>
    <w:tmpl w:val="EF52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1"/>
    <w:rsid w:val="00003BB4"/>
    <w:rsid w:val="00026907"/>
    <w:rsid w:val="000420B3"/>
    <w:rsid w:val="00043A1B"/>
    <w:rsid w:val="000514E1"/>
    <w:rsid w:val="0005579F"/>
    <w:rsid w:val="000714C8"/>
    <w:rsid w:val="00077575"/>
    <w:rsid w:val="00085C03"/>
    <w:rsid w:val="00085CBB"/>
    <w:rsid w:val="000908D6"/>
    <w:rsid w:val="000971D7"/>
    <w:rsid w:val="00097DB0"/>
    <w:rsid w:val="000A5326"/>
    <w:rsid w:val="000B5A66"/>
    <w:rsid w:val="000C0509"/>
    <w:rsid w:val="000C72F5"/>
    <w:rsid w:val="000E0F04"/>
    <w:rsid w:val="000E70E4"/>
    <w:rsid w:val="000E726B"/>
    <w:rsid w:val="001063E5"/>
    <w:rsid w:val="00120E72"/>
    <w:rsid w:val="001223E8"/>
    <w:rsid w:val="0012371C"/>
    <w:rsid w:val="00127E37"/>
    <w:rsid w:val="00131576"/>
    <w:rsid w:val="00131FCA"/>
    <w:rsid w:val="0013220B"/>
    <w:rsid w:val="0013659A"/>
    <w:rsid w:val="001369A6"/>
    <w:rsid w:val="00146E65"/>
    <w:rsid w:val="00164B57"/>
    <w:rsid w:val="00173B6F"/>
    <w:rsid w:val="00180949"/>
    <w:rsid w:val="00192A50"/>
    <w:rsid w:val="001A1BCA"/>
    <w:rsid w:val="001A1E73"/>
    <w:rsid w:val="001A322A"/>
    <w:rsid w:val="001A3A8A"/>
    <w:rsid w:val="001A4B25"/>
    <w:rsid w:val="001B2BAA"/>
    <w:rsid w:val="001C5587"/>
    <w:rsid w:val="001C55A1"/>
    <w:rsid w:val="001D2DD2"/>
    <w:rsid w:val="001D718E"/>
    <w:rsid w:val="001D7AA6"/>
    <w:rsid w:val="001F3A79"/>
    <w:rsid w:val="001F5235"/>
    <w:rsid w:val="001F6E95"/>
    <w:rsid w:val="00202379"/>
    <w:rsid w:val="00205051"/>
    <w:rsid w:val="0024063B"/>
    <w:rsid w:val="00254AAC"/>
    <w:rsid w:val="002756AB"/>
    <w:rsid w:val="0029391A"/>
    <w:rsid w:val="0029511B"/>
    <w:rsid w:val="002A3118"/>
    <w:rsid w:val="002A6B75"/>
    <w:rsid w:val="002B05A1"/>
    <w:rsid w:val="002B184C"/>
    <w:rsid w:val="002B1C0D"/>
    <w:rsid w:val="002B6B38"/>
    <w:rsid w:val="002C0796"/>
    <w:rsid w:val="002C0F1A"/>
    <w:rsid w:val="002C64B2"/>
    <w:rsid w:val="002C778C"/>
    <w:rsid w:val="002D5FDD"/>
    <w:rsid w:val="002E07FE"/>
    <w:rsid w:val="002E221E"/>
    <w:rsid w:val="002E2474"/>
    <w:rsid w:val="002E3C82"/>
    <w:rsid w:val="002E52C4"/>
    <w:rsid w:val="002F044C"/>
    <w:rsid w:val="002F1834"/>
    <w:rsid w:val="002F1A14"/>
    <w:rsid w:val="002F37B4"/>
    <w:rsid w:val="00300032"/>
    <w:rsid w:val="003038D5"/>
    <w:rsid w:val="00320C7C"/>
    <w:rsid w:val="003231C1"/>
    <w:rsid w:val="003303BC"/>
    <w:rsid w:val="0034452C"/>
    <w:rsid w:val="0034635C"/>
    <w:rsid w:val="00353D10"/>
    <w:rsid w:val="0035635C"/>
    <w:rsid w:val="00375227"/>
    <w:rsid w:val="0037758A"/>
    <w:rsid w:val="003919D4"/>
    <w:rsid w:val="00397E1D"/>
    <w:rsid w:val="003B0E43"/>
    <w:rsid w:val="003C095E"/>
    <w:rsid w:val="003C6A7A"/>
    <w:rsid w:val="003D2F26"/>
    <w:rsid w:val="003D3170"/>
    <w:rsid w:val="003E3351"/>
    <w:rsid w:val="003E7250"/>
    <w:rsid w:val="00403B76"/>
    <w:rsid w:val="00405E69"/>
    <w:rsid w:val="00413207"/>
    <w:rsid w:val="004178A1"/>
    <w:rsid w:val="0042015E"/>
    <w:rsid w:val="004269D8"/>
    <w:rsid w:val="0043118B"/>
    <w:rsid w:val="00431FB5"/>
    <w:rsid w:val="00450F5F"/>
    <w:rsid w:val="004623D0"/>
    <w:rsid w:val="004643F9"/>
    <w:rsid w:val="00470E66"/>
    <w:rsid w:val="0047584C"/>
    <w:rsid w:val="0047635C"/>
    <w:rsid w:val="004763A3"/>
    <w:rsid w:val="00487026"/>
    <w:rsid w:val="004878A6"/>
    <w:rsid w:val="00491053"/>
    <w:rsid w:val="0049691D"/>
    <w:rsid w:val="00496D69"/>
    <w:rsid w:val="004A3A3B"/>
    <w:rsid w:val="004A785E"/>
    <w:rsid w:val="004C34FD"/>
    <w:rsid w:val="004D10CE"/>
    <w:rsid w:val="004F3C44"/>
    <w:rsid w:val="004F3D13"/>
    <w:rsid w:val="00506BEC"/>
    <w:rsid w:val="00507CE8"/>
    <w:rsid w:val="0051110B"/>
    <w:rsid w:val="00513F67"/>
    <w:rsid w:val="00517817"/>
    <w:rsid w:val="005260B9"/>
    <w:rsid w:val="00526EB3"/>
    <w:rsid w:val="00531786"/>
    <w:rsid w:val="00542992"/>
    <w:rsid w:val="00543CB0"/>
    <w:rsid w:val="00554F56"/>
    <w:rsid w:val="00571093"/>
    <w:rsid w:val="005738C1"/>
    <w:rsid w:val="0058484B"/>
    <w:rsid w:val="00591729"/>
    <w:rsid w:val="005A071E"/>
    <w:rsid w:val="005A7A5C"/>
    <w:rsid w:val="005C504A"/>
    <w:rsid w:val="005D0597"/>
    <w:rsid w:val="005D12CA"/>
    <w:rsid w:val="005D6CE6"/>
    <w:rsid w:val="005F5F20"/>
    <w:rsid w:val="005F695A"/>
    <w:rsid w:val="005F742E"/>
    <w:rsid w:val="00600CDD"/>
    <w:rsid w:val="0060298E"/>
    <w:rsid w:val="00605364"/>
    <w:rsid w:val="0062629E"/>
    <w:rsid w:val="00626E10"/>
    <w:rsid w:val="00630151"/>
    <w:rsid w:val="0064348E"/>
    <w:rsid w:val="00646013"/>
    <w:rsid w:val="006467C8"/>
    <w:rsid w:val="00655178"/>
    <w:rsid w:val="006629BD"/>
    <w:rsid w:val="00691FD5"/>
    <w:rsid w:val="0069629E"/>
    <w:rsid w:val="00696F8C"/>
    <w:rsid w:val="00697BCD"/>
    <w:rsid w:val="006A6749"/>
    <w:rsid w:val="006A74C3"/>
    <w:rsid w:val="006B6441"/>
    <w:rsid w:val="006B6627"/>
    <w:rsid w:val="006D45B0"/>
    <w:rsid w:val="006E22E9"/>
    <w:rsid w:val="006E7151"/>
    <w:rsid w:val="006F1A3F"/>
    <w:rsid w:val="006F261E"/>
    <w:rsid w:val="006F5F40"/>
    <w:rsid w:val="006F6659"/>
    <w:rsid w:val="00705365"/>
    <w:rsid w:val="00712799"/>
    <w:rsid w:val="007137B8"/>
    <w:rsid w:val="0072038E"/>
    <w:rsid w:val="00727235"/>
    <w:rsid w:val="007413D0"/>
    <w:rsid w:val="00742261"/>
    <w:rsid w:val="007430C5"/>
    <w:rsid w:val="00743AE7"/>
    <w:rsid w:val="007567EF"/>
    <w:rsid w:val="0076564A"/>
    <w:rsid w:val="0077231B"/>
    <w:rsid w:val="00790FB3"/>
    <w:rsid w:val="007B2CFB"/>
    <w:rsid w:val="007B30C9"/>
    <w:rsid w:val="007C0E35"/>
    <w:rsid w:val="007C32B2"/>
    <w:rsid w:val="007C33C8"/>
    <w:rsid w:val="007D25C8"/>
    <w:rsid w:val="007E66B8"/>
    <w:rsid w:val="007E74B3"/>
    <w:rsid w:val="007F40CC"/>
    <w:rsid w:val="007F4FCD"/>
    <w:rsid w:val="007F5A8C"/>
    <w:rsid w:val="007F62E0"/>
    <w:rsid w:val="00802712"/>
    <w:rsid w:val="008043B2"/>
    <w:rsid w:val="008106A9"/>
    <w:rsid w:val="00812C97"/>
    <w:rsid w:val="008225D7"/>
    <w:rsid w:val="008232E3"/>
    <w:rsid w:val="00826D32"/>
    <w:rsid w:val="00833389"/>
    <w:rsid w:val="00843454"/>
    <w:rsid w:val="00844769"/>
    <w:rsid w:val="00847BB7"/>
    <w:rsid w:val="008610E6"/>
    <w:rsid w:val="00864658"/>
    <w:rsid w:val="00865F66"/>
    <w:rsid w:val="00867DC7"/>
    <w:rsid w:val="008722B1"/>
    <w:rsid w:val="00880A3A"/>
    <w:rsid w:val="008854DA"/>
    <w:rsid w:val="00887378"/>
    <w:rsid w:val="00895F60"/>
    <w:rsid w:val="008A65B9"/>
    <w:rsid w:val="008A7BC5"/>
    <w:rsid w:val="008B47B4"/>
    <w:rsid w:val="008F2A49"/>
    <w:rsid w:val="008F569A"/>
    <w:rsid w:val="008F6166"/>
    <w:rsid w:val="008F7CAA"/>
    <w:rsid w:val="009300A8"/>
    <w:rsid w:val="00960D11"/>
    <w:rsid w:val="00961E91"/>
    <w:rsid w:val="00972521"/>
    <w:rsid w:val="00983ED0"/>
    <w:rsid w:val="00984CD7"/>
    <w:rsid w:val="009A1BB2"/>
    <w:rsid w:val="009E5E9C"/>
    <w:rsid w:val="009F0E26"/>
    <w:rsid w:val="00A11C0B"/>
    <w:rsid w:val="00A318BF"/>
    <w:rsid w:val="00A3606F"/>
    <w:rsid w:val="00A44152"/>
    <w:rsid w:val="00A44C1A"/>
    <w:rsid w:val="00A50BE9"/>
    <w:rsid w:val="00A52588"/>
    <w:rsid w:val="00A56F73"/>
    <w:rsid w:val="00A749D7"/>
    <w:rsid w:val="00A75EB8"/>
    <w:rsid w:val="00A8095B"/>
    <w:rsid w:val="00A90C43"/>
    <w:rsid w:val="00A9108D"/>
    <w:rsid w:val="00A95034"/>
    <w:rsid w:val="00A96B63"/>
    <w:rsid w:val="00A97D88"/>
    <w:rsid w:val="00AB3096"/>
    <w:rsid w:val="00AB3B0D"/>
    <w:rsid w:val="00AB7B02"/>
    <w:rsid w:val="00AC6D1F"/>
    <w:rsid w:val="00AE109F"/>
    <w:rsid w:val="00AE6F81"/>
    <w:rsid w:val="00AE71D5"/>
    <w:rsid w:val="00AE74A4"/>
    <w:rsid w:val="00AF6143"/>
    <w:rsid w:val="00B01824"/>
    <w:rsid w:val="00B05B1E"/>
    <w:rsid w:val="00B17B2F"/>
    <w:rsid w:val="00B2511D"/>
    <w:rsid w:val="00B26D52"/>
    <w:rsid w:val="00B33756"/>
    <w:rsid w:val="00B3730A"/>
    <w:rsid w:val="00B43988"/>
    <w:rsid w:val="00B50D62"/>
    <w:rsid w:val="00B52EBD"/>
    <w:rsid w:val="00B62F73"/>
    <w:rsid w:val="00B6426E"/>
    <w:rsid w:val="00B705B0"/>
    <w:rsid w:val="00B76D78"/>
    <w:rsid w:val="00B81CF1"/>
    <w:rsid w:val="00B919BA"/>
    <w:rsid w:val="00B97373"/>
    <w:rsid w:val="00BC1E86"/>
    <w:rsid w:val="00BD4000"/>
    <w:rsid w:val="00BE1AFB"/>
    <w:rsid w:val="00BE3DF3"/>
    <w:rsid w:val="00BE5E4A"/>
    <w:rsid w:val="00C03FB4"/>
    <w:rsid w:val="00C05E3A"/>
    <w:rsid w:val="00C14192"/>
    <w:rsid w:val="00C244E5"/>
    <w:rsid w:val="00C30F78"/>
    <w:rsid w:val="00C3167F"/>
    <w:rsid w:val="00C34704"/>
    <w:rsid w:val="00C3743F"/>
    <w:rsid w:val="00C4635C"/>
    <w:rsid w:val="00C52707"/>
    <w:rsid w:val="00C52734"/>
    <w:rsid w:val="00C55280"/>
    <w:rsid w:val="00C563BA"/>
    <w:rsid w:val="00C75626"/>
    <w:rsid w:val="00C83AEA"/>
    <w:rsid w:val="00C9059C"/>
    <w:rsid w:val="00C909B4"/>
    <w:rsid w:val="00C945BD"/>
    <w:rsid w:val="00CA57F9"/>
    <w:rsid w:val="00CD0A1D"/>
    <w:rsid w:val="00CD0B07"/>
    <w:rsid w:val="00CD47E1"/>
    <w:rsid w:val="00CF00E2"/>
    <w:rsid w:val="00CF09C7"/>
    <w:rsid w:val="00D068B3"/>
    <w:rsid w:val="00D17B11"/>
    <w:rsid w:val="00D269E4"/>
    <w:rsid w:val="00D307B4"/>
    <w:rsid w:val="00D47911"/>
    <w:rsid w:val="00D63CC3"/>
    <w:rsid w:val="00D652E9"/>
    <w:rsid w:val="00D66884"/>
    <w:rsid w:val="00D70947"/>
    <w:rsid w:val="00D74206"/>
    <w:rsid w:val="00D8149F"/>
    <w:rsid w:val="00D95C0E"/>
    <w:rsid w:val="00D9755D"/>
    <w:rsid w:val="00DA48EF"/>
    <w:rsid w:val="00DA62D0"/>
    <w:rsid w:val="00DB43AD"/>
    <w:rsid w:val="00DB593A"/>
    <w:rsid w:val="00DC094F"/>
    <w:rsid w:val="00DC11FA"/>
    <w:rsid w:val="00DC2C04"/>
    <w:rsid w:val="00DC3112"/>
    <w:rsid w:val="00DC6F42"/>
    <w:rsid w:val="00DD4C96"/>
    <w:rsid w:val="00DD625F"/>
    <w:rsid w:val="00DE4760"/>
    <w:rsid w:val="00DF0CAC"/>
    <w:rsid w:val="00DF27F2"/>
    <w:rsid w:val="00E01FD2"/>
    <w:rsid w:val="00E024D5"/>
    <w:rsid w:val="00E1514B"/>
    <w:rsid w:val="00E17852"/>
    <w:rsid w:val="00E270BE"/>
    <w:rsid w:val="00E31EAF"/>
    <w:rsid w:val="00E65C9D"/>
    <w:rsid w:val="00E77884"/>
    <w:rsid w:val="00E80F0C"/>
    <w:rsid w:val="00EB0E8C"/>
    <w:rsid w:val="00EB3C7B"/>
    <w:rsid w:val="00EB4FCE"/>
    <w:rsid w:val="00EB7C29"/>
    <w:rsid w:val="00EC7266"/>
    <w:rsid w:val="00ED3F28"/>
    <w:rsid w:val="00EE218E"/>
    <w:rsid w:val="00EE3C15"/>
    <w:rsid w:val="00EE7D58"/>
    <w:rsid w:val="00EF585B"/>
    <w:rsid w:val="00EF712D"/>
    <w:rsid w:val="00F05D03"/>
    <w:rsid w:val="00F1105A"/>
    <w:rsid w:val="00F1415C"/>
    <w:rsid w:val="00F16189"/>
    <w:rsid w:val="00F24BFA"/>
    <w:rsid w:val="00F26EBD"/>
    <w:rsid w:val="00F3071C"/>
    <w:rsid w:val="00F31BA9"/>
    <w:rsid w:val="00F50ED3"/>
    <w:rsid w:val="00F67589"/>
    <w:rsid w:val="00F70545"/>
    <w:rsid w:val="00F74BB5"/>
    <w:rsid w:val="00F80E01"/>
    <w:rsid w:val="00F903D7"/>
    <w:rsid w:val="00F93CB0"/>
    <w:rsid w:val="00F95E2C"/>
    <w:rsid w:val="00FA2F2A"/>
    <w:rsid w:val="00FA3A31"/>
    <w:rsid w:val="00FB5720"/>
    <w:rsid w:val="00FC550F"/>
    <w:rsid w:val="00FC7557"/>
    <w:rsid w:val="00FE304F"/>
    <w:rsid w:val="00FE3D2E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7080BA6"/>
  <w15:docId w15:val="{DDFA10EA-4E7B-4413-A0C3-B044A73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2C"/>
  </w:style>
  <w:style w:type="paragraph" w:styleId="Footer">
    <w:name w:val="footer"/>
    <w:basedOn w:val="Normal"/>
    <w:link w:val="FooterChar"/>
    <w:uiPriority w:val="99"/>
    <w:unhideWhenUsed/>
    <w:rsid w:val="0034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2C"/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1A3A8A"/>
    <w:pPr>
      <w:tabs>
        <w:tab w:val="left" w:pos="384"/>
      </w:tabs>
      <w:spacing w:after="240" w:line="240" w:lineRule="auto"/>
      <w:ind w:left="384" w:hanging="384"/>
    </w:pPr>
  </w:style>
  <w:style w:type="character" w:styleId="Hyperlink">
    <w:name w:val="Hyperlink"/>
    <w:basedOn w:val="DefaultParagraphFont"/>
    <w:uiPriority w:val="99"/>
    <w:unhideWhenUsed/>
    <w:rsid w:val="00A44C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C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F67"/>
    <w:rPr>
      <w:color w:val="800080" w:themeColor="followedHyperlink"/>
      <w:u w:val="single"/>
    </w:rPr>
  </w:style>
  <w:style w:type="paragraph" w:customStyle="1" w:styleId="References">
    <w:name w:val="References"/>
    <w:basedOn w:val="Bibliography"/>
    <w:link w:val="ReferencesChar"/>
    <w:qFormat/>
    <w:rsid w:val="00705365"/>
    <w:pPr>
      <w:ind w:left="461" w:hanging="461"/>
    </w:pPr>
    <w:rPr>
      <w:rFonts w:cstheme="minorHAnsi"/>
    </w:rPr>
  </w:style>
  <w:style w:type="character" w:customStyle="1" w:styleId="BibliographyChar">
    <w:name w:val="Bibliography Char"/>
    <w:basedOn w:val="DefaultParagraphFont"/>
    <w:link w:val="Bibliography"/>
    <w:uiPriority w:val="37"/>
    <w:rsid w:val="00571093"/>
  </w:style>
  <w:style w:type="character" w:customStyle="1" w:styleId="ReferencesChar">
    <w:name w:val="References Char"/>
    <w:basedOn w:val="BibliographyChar"/>
    <w:link w:val="References"/>
    <w:rsid w:val="00705365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waninstitute.osu.edu/implicit-bias-training/resources/2017-implicit-bias-review.pdf" TargetMode="External"/><Relationship Id="rId13" Type="http://schemas.openxmlformats.org/officeDocument/2006/relationships/hyperlink" Target="https://www.napsw.org/assets/docs/NICU-standards.pdf" TargetMode="External"/><Relationship Id="rId18" Type="http://schemas.openxmlformats.org/officeDocument/2006/relationships/hyperlink" Target="https://www.cdc.gov/ncbddd/actearly/parents/states.html" TargetMode="External"/><Relationship Id="rId26" Type="http://schemas.openxmlformats.org/officeDocument/2006/relationships/hyperlink" Target="https://noharm.org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ped.fns.usda.gov/library/materials/fruit-and-vegetable-prescription-programr-fvrxr" TargetMode="External"/><Relationship Id="rId34" Type="http://schemas.openxmlformats.org/officeDocument/2006/relationships/hyperlink" Target="https://creativecommons.org/licenses/by-nc/4.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ture.com/articles/s41390-019-0513-6" TargetMode="External"/><Relationship Id="rId17" Type="http://schemas.openxmlformats.org/officeDocument/2006/relationships/hyperlink" Target="https://www.ssa.gov/pubs/EN-05-10026.pdf" TargetMode="External"/><Relationship Id="rId25" Type="http://schemas.openxmlformats.org/officeDocument/2006/relationships/hyperlink" Target="https://msa.maryland.gov/msa/mdmanual/26excom/html/04bcitysocial.html" TargetMode="External"/><Relationship Id="rId33" Type="http://schemas.openxmlformats.org/officeDocument/2006/relationships/hyperlink" Target="https://creativecommons.org/licenses/by-nc/4.0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ichd.nih.gov/sites/default/files/publications/pubs/documents/SIDS_resourcekit_rev.pdf" TargetMode="External"/><Relationship Id="rId20" Type="http://schemas.openxmlformats.org/officeDocument/2006/relationships/hyperlink" Target="https://www.brookings.edu/research/puzzling-it-out-the-current-state-of-scientific-knowledge-on-pre-kindergarten-effects/" TargetMode="External"/><Relationship Id="rId29" Type="http://schemas.openxmlformats.org/officeDocument/2006/relationships/hyperlink" Target="https://www.nytimes.com/2019/03/07/opinion/case-for-repara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oe.org/Reports-HPOE/improvinghealthequity3.2011.pdf" TargetMode="External"/><Relationship Id="rId24" Type="http://schemas.openxmlformats.org/officeDocument/2006/relationships/hyperlink" Target="https://www.apha.org/policies-and-advocacy/public-health-policy-statements/policy-database/2014/07/08/09/18/improving-health-and-wellness-through-access-to-nature" TargetMode="External"/><Relationship Id="rId32" Type="http://schemas.openxmlformats.org/officeDocument/2006/relationships/hyperlink" Target="https://creativecommons.org/licenses/by-nc/4.0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ph26" TargetMode="External"/><Relationship Id="rId23" Type="http://schemas.openxmlformats.org/officeDocument/2006/relationships/hyperlink" Target="https://ipfcc.org/resources/getting_started.pdf" TargetMode="External"/><Relationship Id="rId28" Type="http://schemas.openxmlformats.org/officeDocument/2006/relationships/hyperlink" Target="https://www.theatlantic.com/magazine/archive/2014/06/the-case-for-reparations/361631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hpoe.org/Reports-HPOE/eliminating_health_care_disparities.pdf" TargetMode="External"/><Relationship Id="rId19" Type="http://schemas.openxmlformats.org/officeDocument/2006/relationships/hyperlink" Target="http://www.ahrq.gov/patient-safety/settings/hospital/resource/nicu/index.html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qualityforum.org/Publications/2017/09/A_Roadmap_for_Promoting_Health_Equity_and_Eliminating_Disparities__The_Four_I_s_for_Health_Equity.aspx" TargetMode="External"/><Relationship Id="rId14" Type="http://schemas.openxmlformats.org/officeDocument/2006/relationships/hyperlink" Target="http://www.ahrq.gov/ncepcr/tools/community/index.html" TargetMode="External"/><Relationship Id="rId22" Type="http://schemas.openxmlformats.org/officeDocument/2006/relationships/hyperlink" Target="https://www.cpqcc.org/tip-sheet-health-equity" TargetMode="External"/><Relationship Id="rId27" Type="http://schemas.openxmlformats.org/officeDocument/2006/relationships/hyperlink" Target="https://www.huduser.gov/portal/casestudies/study-041618.html" TargetMode="External"/><Relationship Id="rId30" Type="http://schemas.openxmlformats.org/officeDocument/2006/relationships/hyperlink" Target="https://www.nytimes.com/interactive/2020/06/24/magazine/reparations-slavery.html" TargetMode="External"/><Relationship Id="rId35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A663-FAB5-4714-AE09-1E7074FF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8226</Words>
  <Characters>46892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Horbar</dc:creator>
  <cp:lastModifiedBy>Erika Edwards</cp:lastModifiedBy>
  <cp:revision>8</cp:revision>
  <dcterms:created xsi:type="dcterms:W3CDTF">2020-10-22T18:08:00Z</dcterms:created>
  <dcterms:modified xsi:type="dcterms:W3CDTF">2020-10-28T17:46:00Z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id="jPMR4Rnr"/&gt;&lt;style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value="true"/&gt;&lt;pref name="dontAskDelayCitationUpdates" value="true"/&gt;&lt;/prefs&gt;&lt;/data&gt;</vt:lpwstr>
  </property>
</Properties>
</file>