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401" w:rsidRPr="00AE5E48" w:rsidRDefault="00CC1401">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Supp</w:t>
      </w:r>
      <w:bookmarkStart w:id="0" w:name="_GoBack"/>
      <w:bookmarkEnd w:id="0"/>
      <w:r w:rsidRPr="00AE5E48">
        <w:rPr>
          <w:rFonts w:ascii="Times New Roman" w:hAnsi="Times New Roman" w:cs="Times New Roman"/>
          <w:color w:val="171717" w:themeColor="background2" w:themeShade="1A"/>
          <w:sz w:val="24"/>
          <w:szCs w:val="24"/>
        </w:rPr>
        <w:t>lemental Table. Potential metrics explored during health equity index development.</w:t>
      </w:r>
    </w:p>
    <w:tbl>
      <w:tblPr>
        <w:tblStyle w:val="TableGrid"/>
        <w:tblW w:w="0" w:type="auto"/>
        <w:tblLayout w:type="fixed"/>
        <w:tblLook w:val="04A0" w:firstRow="1" w:lastRow="0" w:firstColumn="1" w:lastColumn="0" w:noHBand="0" w:noVBand="1"/>
      </w:tblPr>
      <w:tblGrid>
        <w:gridCol w:w="6115"/>
        <w:gridCol w:w="3235"/>
      </w:tblGrid>
      <w:tr w:rsidR="00AE5E48" w:rsidRPr="00AE5E48" w:rsidTr="0012064B">
        <w:tc>
          <w:tcPr>
            <w:tcW w:w="6115" w:type="dxa"/>
            <w:shd w:val="clear" w:color="auto" w:fill="F2F2F2" w:themeFill="background1" w:themeFillShade="F2"/>
          </w:tcPr>
          <w:p w:rsidR="004169A4" w:rsidRPr="00AE5E48" w:rsidRDefault="004169A4">
            <w:pPr>
              <w:rPr>
                <w:rFonts w:ascii="Times New Roman" w:hAnsi="Times New Roman" w:cs="Times New Roman"/>
                <w:b/>
                <w:color w:val="171717" w:themeColor="background2" w:themeShade="1A"/>
                <w:sz w:val="24"/>
                <w:szCs w:val="24"/>
              </w:rPr>
            </w:pPr>
            <w:r w:rsidRPr="00AE5E48">
              <w:rPr>
                <w:rFonts w:ascii="Times New Roman" w:hAnsi="Times New Roman" w:cs="Times New Roman"/>
                <w:b/>
                <w:color w:val="171717" w:themeColor="background2" w:themeShade="1A"/>
                <w:sz w:val="24"/>
                <w:szCs w:val="24"/>
              </w:rPr>
              <w:t>Potential Metric</w:t>
            </w:r>
          </w:p>
        </w:tc>
        <w:tc>
          <w:tcPr>
            <w:tcW w:w="3235" w:type="dxa"/>
            <w:shd w:val="clear" w:color="auto" w:fill="F2F2F2" w:themeFill="background1" w:themeFillShade="F2"/>
          </w:tcPr>
          <w:p w:rsidR="004169A4" w:rsidRPr="00AE5E48" w:rsidRDefault="0012064B">
            <w:pPr>
              <w:rPr>
                <w:rFonts w:ascii="Times New Roman" w:hAnsi="Times New Roman" w:cs="Times New Roman"/>
                <w:b/>
                <w:color w:val="171717" w:themeColor="background2" w:themeShade="1A"/>
                <w:sz w:val="24"/>
                <w:szCs w:val="24"/>
              </w:rPr>
            </w:pPr>
            <w:r w:rsidRPr="00AE5E48">
              <w:rPr>
                <w:rFonts w:ascii="Times New Roman" w:hAnsi="Times New Roman" w:cs="Times New Roman"/>
                <w:b/>
                <w:color w:val="171717" w:themeColor="background2" w:themeShade="1A"/>
                <w:sz w:val="24"/>
                <w:szCs w:val="24"/>
              </w:rPr>
              <w:t>Notes</w:t>
            </w:r>
            <w:r w:rsidR="004169A4" w:rsidRPr="00AE5E48">
              <w:rPr>
                <w:rFonts w:ascii="Times New Roman" w:hAnsi="Times New Roman" w:cs="Times New Roman"/>
                <w:b/>
                <w:color w:val="171717" w:themeColor="background2" w:themeShade="1A"/>
                <w:sz w:val="24"/>
                <w:szCs w:val="24"/>
              </w:rPr>
              <w:t xml:space="preserve"> </w:t>
            </w:r>
          </w:p>
        </w:tc>
      </w:tr>
      <w:tr w:rsidR="00AE5E48" w:rsidRPr="00AE5E48" w:rsidTr="0012064B">
        <w:tc>
          <w:tcPr>
            <w:tcW w:w="6115" w:type="dxa"/>
          </w:tcPr>
          <w:p w:rsidR="00AE5E48" w:rsidRPr="00AE5E48" w:rsidRDefault="00AE5E48" w:rsidP="009B133B">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Asthma: Well-Controlled</w:t>
            </w:r>
          </w:p>
          <w:p w:rsidR="00AE5E48" w:rsidRPr="00AE5E48" w:rsidRDefault="00AE5E48" w:rsidP="00AE5E48">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 xml:space="preserve">The percentage of children (5-17 years of age) who had a diagnosis of asthma and whose asthma was optimally controlled as defined by achieving the following: </w:t>
            </w:r>
          </w:p>
          <w:p w:rsidR="00000000" w:rsidRPr="00AE5E48" w:rsidRDefault="006B4E37" w:rsidP="00AE5E48">
            <w:pPr>
              <w:numPr>
                <w:ilvl w:val="0"/>
                <w:numId w:val="6"/>
              </w:num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Asthma well-controlled as defined by the most recent asthma control tool result (score &gt;20)</w:t>
            </w:r>
          </w:p>
          <w:p w:rsidR="00AE5E48" w:rsidRPr="00AE5E48" w:rsidRDefault="006B4E37" w:rsidP="009B133B">
            <w:pPr>
              <w:numPr>
                <w:ilvl w:val="0"/>
                <w:numId w:val="6"/>
              </w:num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 xml:space="preserve">Patient </w:t>
            </w:r>
            <w:r w:rsidRPr="00AE5E48">
              <w:rPr>
                <w:rFonts w:ascii="Times New Roman" w:hAnsi="Times New Roman" w:cs="Times New Roman"/>
                <w:color w:val="171717" w:themeColor="background2" w:themeShade="1A"/>
                <w:sz w:val="24"/>
                <w:szCs w:val="24"/>
              </w:rPr>
              <w:t xml:space="preserve">not at risk of exacerbation (i.e., &lt;2 ED visits and/or hospitalizations due to asthma in the last 12 months) </w:t>
            </w:r>
          </w:p>
        </w:tc>
        <w:tc>
          <w:tcPr>
            <w:tcW w:w="3235" w:type="dxa"/>
          </w:tcPr>
          <w:p w:rsidR="00AE5E48" w:rsidRPr="00AE5E48" w:rsidRDefault="00AE5E48">
            <w:pPr>
              <w:rPr>
                <w:rStyle w:val="Hyperlink"/>
                <w:rFonts w:ascii="Times New Roman" w:hAnsi="Times New Roman" w:cs="Times New Roman"/>
                <w:color w:val="171717" w:themeColor="background2" w:themeShade="1A"/>
                <w:sz w:val="24"/>
                <w:szCs w:val="24"/>
                <w:u w:val="none"/>
              </w:rPr>
            </w:pPr>
            <w:r w:rsidRPr="00AE5E48">
              <w:rPr>
                <w:rStyle w:val="Hyperlink"/>
                <w:rFonts w:ascii="Times New Roman" w:hAnsi="Times New Roman" w:cs="Times New Roman"/>
                <w:color w:val="171717" w:themeColor="background2" w:themeShade="1A"/>
                <w:sz w:val="24"/>
                <w:szCs w:val="24"/>
                <w:u w:val="none"/>
              </w:rPr>
              <w:t>Selected metric.</w:t>
            </w:r>
          </w:p>
          <w:p w:rsidR="00AE5E48" w:rsidRPr="00AE5E48" w:rsidRDefault="00AE5E48">
            <w:pPr>
              <w:rPr>
                <w:rStyle w:val="Hyperlink"/>
                <w:rFonts w:ascii="Times New Roman" w:hAnsi="Times New Roman" w:cs="Times New Roman"/>
                <w:color w:val="171717" w:themeColor="background2" w:themeShade="1A"/>
                <w:sz w:val="24"/>
                <w:szCs w:val="24"/>
                <w:u w:val="none"/>
              </w:rPr>
            </w:pPr>
            <w:r w:rsidRPr="00AE5E48">
              <w:rPr>
                <w:rStyle w:val="Hyperlink"/>
                <w:rFonts w:ascii="Times New Roman" w:hAnsi="Times New Roman" w:cs="Times New Roman"/>
                <w:color w:val="171717" w:themeColor="background2" w:themeShade="1A"/>
                <w:sz w:val="24"/>
                <w:szCs w:val="24"/>
                <w:u w:val="none"/>
              </w:rPr>
              <w:t>Reported to MN Community Measures program</w:t>
            </w:r>
          </w:p>
        </w:tc>
      </w:tr>
      <w:tr w:rsidR="00AE5E48" w:rsidRPr="00AE5E48" w:rsidTr="0012064B">
        <w:tc>
          <w:tcPr>
            <w:tcW w:w="6115" w:type="dxa"/>
          </w:tcPr>
          <w:p w:rsidR="00AE5E48" w:rsidRPr="00AE5E48" w:rsidRDefault="00AE5E48" w:rsidP="00AE5E48">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 xml:space="preserve">Combo 10 Vaccine: The percentage of two-year olds who received all of the following vaccines by their second birthday: </w:t>
            </w:r>
          </w:p>
          <w:p w:rsidR="00000000" w:rsidRPr="00AE5E48" w:rsidRDefault="006B4E37" w:rsidP="00AE5E48">
            <w:pPr>
              <w:numPr>
                <w:ilvl w:val="0"/>
                <w:numId w:val="7"/>
              </w:num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 xml:space="preserve">Fourth diphtheria, tetanus and acellular pertussis (DTaP) </w:t>
            </w:r>
          </w:p>
          <w:p w:rsidR="00000000" w:rsidRPr="00AE5E48" w:rsidRDefault="006B4E37" w:rsidP="00AE5E48">
            <w:pPr>
              <w:numPr>
                <w:ilvl w:val="0"/>
                <w:numId w:val="7"/>
              </w:num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 xml:space="preserve">Three inactivated polio (IPV) </w:t>
            </w:r>
          </w:p>
          <w:p w:rsidR="00000000" w:rsidRPr="00AE5E48" w:rsidRDefault="006B4E37" w:rsidP="00AE5E48">
            <w:pPr>
              <w:numPr>
                <w:ilvl w:val="0"/>
                <w:numId w:val="7"/>
              </w:num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 xml:space="preserve">One measures, mumps and rubella (MMR) </w:t>
            </w:r>
          </w:p>
          <w:p w:rsidR="00000000" w:rsidRPr="00AE5E48" w:rsidRDefault="006B4E37" w:rsidP="00AE5E48">
            <w:pPr>
              <w:numPr>
                <w:ilvl w:val="0"/>
                <w:numId w:val="7"/>
              </w:num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Three H influenza type B</w:t>
            </w:r>
          </w:p>
          <w:p w:rsidR="00000000" w:rsidRPr="00AE5E48" w:rsidRDefault="006B4E37" w:rsidP="00AE5E48">
            <w:pPr>
              <w:numPr>
                <w:ilvl w:val="0"/>
                <w:numId w:val="7"/>
              </w:num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 xml:space="preserve">Three hepatitis B </w:t>
            </w:r>
          </w:p>
          <w:p w:rsidR="00000000" w:rsidRPr="00AE5E48" w:rsidRDefault="006B4E37" w:rsidP="00AE5E48">
            <w:pPr>
              <w:numPr>
                <w:ilvl w:val="0"/>
                <w:numId w:val="7"/>
              </w:num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 xml:space="preserve">One chicken pox (VZV) </w:t>
            </w:r>
          </w:p>
          <w:p w:rsidR="00000000" w:rsidRPr="00AE5E48" w:rsidRDefault="006B4E37" w:rsidP="00AE5E48">
            <w:pPr>
              <w:numPr>
                <w:ilvl w:val="0"/>
                <w:numId w:val="7"/>
              </w:num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Four pneumococcal conjugate</w:t>
            </w:r>
          </w:p>
          <w:p w:rsidR="00000000" w:rsidRPr="00AE5E48" w:rsidRDefault="006B4E37" w:rsidP="00AE5E48">
            <w:pPr>
              <w:numPr>
                <w:ilvl w:val="0"/>
                <w:numId w:val="7"/>
              </w:num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 xml:space="preserve">One hepatitis A </w:t>
            </w:r>
          </w:p>
          <w:p w:rsidR="00000000" w:rsidRPr="00AE5E48" w:rsidRDefault="006B4E37" w:rsidP="00AE5E48">
            <w:pPr>
              <w:numPr>
                <w:ilvl w:val="0"/>
                <w:numId w:val="7"/>
              </w:num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 xml:space="preserve">Two or three rotavirus </w:t>
            </w:r>
          </w:p>
          <w:p w:rsidR="00AE5E48" w:rsidRPr="00AE5E48" w:rsidRDefault="006B4E37" w:rsidP="00AE5E48">
            <w:pPr>
              <w:numPr>
                <w:ilvl w:val="0"/>
                <w:numId w:val="7"/>
              </w:num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Two influenza</w:t>
            </w:r>
          </w:p>
        </w:tc>
        <w:tc>
          <w:tcPr>
            <w:tcW w:w="3235" w:type="dxa"/>
          </w:tcPr>
          <w:p w:rsidR="00AE5E48" w:rsidRPr="00AE5E48" w:rsidRDefault="00AE5E48" w:rsidP="00AE5E48">
            <w:pPr>
              <w:rPr>
                <w:rStyle w:val="Hyperlink"/>
                <w:rFonts w:ascii="Times New Roman" w:hAnsi="Times New Roman" w:cs="Times New Roman"/>
                <w:color w:val="171717" w:themeColor="background2" w:themeShade="1A"/>
                <w:sz w:val="24"/>
                <w:szCs w:val="24"/>
                <w:u w:val="none"/>
              </w:rPr>
            </w:pPr>
            <w:r w:rsidRPr="00AE5E48">
              <w:rPr>
                <w:rStyle w:val="Hyperlink"/>
                <w:rFonts w:ascii="Times New Roman" w:hAnsi="Times New Roman" w:cs="Times New Roman"/>
                <w:color w:val="171717" w:themeColor="background2" w:themeShade="1A"/>
                <w:sz w:val="24"/>
                <w:szCs w:val="24"/>
                <w:u w:val="none"/>
              </w:rPr>
              <w:t>Selected metric.</w:t>
            </w:r>
          </w:p>
          <w:p w:rsidR="00AE5E48" w:rsidRPr="00AE5E48" w:rsidRDefault="00AE5E48" w:rsidP="00AE5E48">
            <w:pPr>
              <w:rPr>
                <w:rStyle w:val="Hyperlink"/>
                <w:rFonts w:ascii="Times New Roman" w:hAnsi="Times New Roman" w:cs="Times New Roman"/>
                <w:color w:val="171717" w:themeColor="background2" w:themeShade="1A"/>
                <w:sz w:val="24"/>
                <w:szCs w:val="24"/>
                <w:u w:val="none"/>
              </w:rPr>
            </w:pPr>
            <w:r w:rsidRPr="00AE5E48">
              <w:rPr>
                <w:rStyle w:val="Hyperlink"/>
                <w:rFonts w:ascii="Times New Roman" w:hAnsi="Times New Roman" w:cs="Times New Roman"/>
                <w:color w:val="171717" w:themeColor="background2" w:themeShade="1A"/>
                <w:sz w:val="24"/>
                <w:szCs w:val="24"/>
                <w:u w:val="none"/>
              </w:rPr>
              <w:t>Reported to MN Community Measures program</w:t>
            </w:r>
          </w:p>
        </w:tc>
      </w:tr>
      <w:tr w:rsidR="00AE5E48" w:rsidRPr="00AE5E48" w:rsidTr="0012064B">
        <w:tc>
          <w:tcPr>
            <w:tcW w:w="6115" w:type="dxa"/>
          </w:tcPr>
          <w:p w:rsidR="00AE5E48" w:rsidRPr="00AE5E48" w:rsidRDefault="00AE5E48" w:rsidP="009B133B">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No Show Appointments: Percent of patients with a scheduled appointment that were documented as “No Show” based on Ambulatory practice guidelines and clinic-specific practice.</w:t>
            </w:r>
          </w:p>
        </w:tc>
        <w:tc>
          <w:tcPr>
            <w:tcW w:w="3235" w:type="dxa"/>
          </w:tcPr>
          <w:p w:rsidR="00AE5E48" w:rsidRPr="00AE5E48" w:rsidRDefault="00AE5E48" w:rsidP="00AE5E48">
            <w:pPr>
              <w:rPr>
                <w:rStyle w:val="Hyperlink"/>
                <w:rFonts w:ascii="Times New Roman" w:hAnsi="Times New Roman" w:cs="Times New Roman"/>
                <w:color w:val="171717" w:themeColor="background2" w:themeShade="1A"/>
                <w:sz w:val="24"/>
                <w:szCs w:val="24"/>
                <w:u w:val="none"/>
              </w:rPr>
            </w:pPr>
            <w:r w:rsidRPr="00AE5E48">
              <w:rPr>
                <w:rStyle w:val="Hyperlink"/>
                <w:rFonts w:ascii="Times New Roman" w:hAnsi="Times New Roman" w:cs="Times New Roman"/>
                <w:color w:val="171717" w:themeColor="background2" w:themeShade="1A"/>
                <w:sz w:val="24"/>
                <w:szCs w:val="24"/>
                <w:u w:val="none"/>
              </w:rPr>
              <w:t>Selected metric.</w:t>
            </w:r>
          </w:p>
          <w:p w:rsidR="00AE5E48" w:rsidRPr="00AE5E48" w:rsidRDefault="00AE5E48">
            <w:pPr>
              <w:rPr>
                <w:rStyle w:val="Hyperlink"/>
                <w:rFonts w:ascii="Times New Roman" w:hAnsi="Times New Roman" w:cs="Times New Roman"/>
                <w:color w:val="171717" w:themeColor="background2" w:themeShade="1A"/>
                <w:sz w:val="24"/>
                <w:szCs w:val="24"/>
                <w:u w:val="none"/>
              </w:rPr>
            </w:pPr>
          </w:p>
        </w:tc>
      </w:tr>
      <w:tr w:rsidR="00AE5E48" w:rsidRPr="00AE5E48" w:rsidTr="0012064B">
        <w:tc>
          <w:tcPr>
            <w:tcW w:w="6115" w:type="dxa"/>
          </w:tcPr>
          <w:p w:rsidR="00AE5E48" w:rsidRPr="00AE5E48" w:rsidRDefault="00AE5E48" w:rsidP="009B133B">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Comfort Promise: % of patients with ambulatory procedure (e.g. vaccine) who were offered measures to reduce pain</w:t>
            </w:r>
          </w:p>
        </w:tc>
        <w:tc>
          <w:tcPr>
            <w:tcW w:w="3235" w:type="dxa"/>
          </w:tcPr>
          <w:p w:rsidR="00AE5E48" w:rsidRPr="00AE5E48" w:rsidRDefault="00AE5E48" w:rsidP="00AE5E48">
            <w:pPr>
              <w:rPr>
                <w:rStyle w:val="Hyperlink"/>
                <w:rFonts w:ascii="Times New Roman" w:hAnsi="Times New Roman" w:cs="Times New Roman"/>
                <w:color w:val="171717" w:themeColor="background2" w:themeShade="1A"/>
                <w:sz w:val="24"/>
                <w:szCs w:val="24"/>
                <w:u w:val="none"/>
              </w:rPr>
            </w:pPr>
            <w:r w:rsidRPr="00AE5E48">
              <w:rPr>
                <w:rStyle w:val="Hyperlink"/>
                <w:rFonts w:ascii="Times New Roman" w:hAnsi="Times New Roman" w:cs="Times New Roman"/>
                <w:color w:val="171717" w:themeColor="background2" w:themeShade="1A"/>
                <w:sz w:val="24"/>
                <w:szCs w:val="24"/>
                <w:u w:val="none"/>
              </w:rPr>
              <w:t>Selected metric.</w:t>
            </w:r>
          </w:p>
          <w:p w:rsidR="00AE5E48" w:rsidRPr="00AE5E48" w:rsidRDefault="00AE5E48">
            <w:pPr>
              <w:rPr>
                <w:rStyle w:val="Hyperlink"/>
                <w:rFonts w:ascii="Times New Roman" w:hAnsi="Times New Roman" w:cs="Times New Roman"/>
                <w:color w:val="171717" w:themeColor="background2" w:themeShade="1A"/>
                <w:sz w:val="24"/>
                <w:szCs w:val="24"/>
                <w:u w:val="none"/>
              </w:rPr>
            </w:pPr>
          </w:p>
        </w:tc>
      </w:tr>
      <w:tr w:rsidR="00AE5E48" w:rsidRPr="00AE5E48" w:rsidTr="0012064B">
        <w:tc>
          <w:tcPr>
            <w:tcW w:w="6115" w:type="dxa"/>
          </w:tcPr>
          <w:p w:rsidR="00AE5E48" w:rsidRPr="00AE5E48" w:rsidRDefault="00AE5E48" w:rsidP="00AE5E48">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30 Day Same-Cause Inpatient Readmissions</w:t>
            </w:r>
          </w:p>
          <w:p w:rsidR="00AE5E48" w:rsidRPr="00AE5E48" w:rsidRDefault="00AE5E48" w:rsidP="009B133B">
            <w:pPr>
              <w:rPr>
                <w:rFonts w:ascii="Times New Roman" w:hAnsi="Times New Roman" w:cs="Times New Roman"/>
                <w:color w:val="171717" w:themeColor="background2" w:themeShade="1A"/>
                <w:sz w:val="24"/>
                <w:szCs w:val="24"/>
              </w:rPr>
            </w:pPr>
          </w:p>
        </w:tc>
        <w:tc>
          <w:tcPr>
            <w:tcW w:w="3235" w:type="dxa"/>
          </w:tcPr>
          <w:p w:rsidR="00AE5E48" w:rsidRPr="00AE5E48" w:rsidRDefault="00AE5E48">
            <w:pPr>
              <w:rPr>
                <w:rStyle w:val="Hyperlink"/>
                <w:rFonts w:ascii="Times New Roman" w:hAnsi="Times New Roman" w:cs="Times New Roman"/>
                <w:color w:val="171717" w:themeColor="background2" w:themeShade="1A"/>
                <w:sz w:val="24"/>
                <w:szCs w:val="24"/>
                <w:u w:val="none"/>
              </w:rPr>
            </w:pPr>
            <w:r w:rsidRPr="00AE5E48">
              <w:rPr>
                <w:rStyle w:val="Hyperlink"/>
                <w:rFonts w:ascii="Times New Roman" w:hAnsi="Times New Roman" w:cs="Times New Roman"/>
                <w:color w:val="171717" w:themeColor="background2" w:themeShade="1A"/>
                <w:sz w:val="24"/>
                <w:szCs w:val="24"/>
                <w:u w:val="none"/>
              </w:rPr>
              <w:t>Continuing to explore this measure</w:t>
            </w:r>
          </w:p>
        </w:tc>
      </w:tr>
      <w:tr w:rsidR="00AE5E48" w:rsidRPr="00AE5E48" w:rsidTr="0012064B">
        <w:tc>
          <w:tcPr>
            <w:tcW w:w="6115" w:type="dxa"/>
          </w:tcPr>
          <w:p w:rsidR="00AE5E48" w:rsidRPr="00AE5E48" w:rsidRDefault="00AE5E48" w:rsidP="009B133B">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Overutilization per Bronchiolitis Guideline: Percent of patients of all encounter types (ED, IP, Obs, OP in a bed) with one or more of the five diagnostic/ treatment interventions that are not routinely recommended per the bronchiolitis clinical guideline: Antibiotics, Bronchodilators, Chest Xray, Systemic Corticosteroids, &amp; Viral Testing.</w:t>
            </w:r>
          </w:p>
        </w:tc>
        <w:tc>
          <w:tcPr>
            <w:tcW w:w="3235" w:type="dxa"/>
          </w:tcPr>
          <w:p w:rsidR="00AE5E48" w:rsidRPr="00AE5E48" w:rsidRDefault="00AE5E48">
            <w:pPr>
              <w:rPr>
                <w:rStyle w:val="Hyperlink"/>
                <w:rFonts w:ascii="Times New Roman" w:hAnsi="Times New Roman" w:cs="Times New Roman"/>
                <w:color w:val="171717" w:themeColor="background2" w:themeShade="1A"/>
                <w:sz w:val="24"/>
                <w:szCs w:val="24"/>
                <w:u w:val="none"/>
              </w:rPr>
            </w:pPr>
            <w:r w:rsidRPr="00AE5E48">
              <w:rPr>
                <w:rStyle w:val="Hyperlink"/>
                <w:rFonts w:ascii="Times New Roman" w:hAnsi="Times New Roman" w:cs="Times New Roman"/>
                <w:color w:val="171717" w:themeColor="background2" w:themeShade="1A"/>
                <w:sz w:val="24"/>
                <w:szCs w:val="24"/>
                <w:u w:val="none"/>
              </w:rPr>
              <w:t>Continuing to explore this measure</w:t>
            </w:r>
          </w:p>
        </w:tc>
      </w:tr>
      <w:tr w:rsidR="00AE5E48" w:rsidRPr="00AE5E48" w:rsidTr="0012064B">
        <w:tc>
          <w:tcPr>
            <w:tcW w:w="6115" w:type="dxa"/>
          </w:tcPr>
          <w:p w:rsidR="00AE5E48" w:rsidRPr="00AE5E48" w:rsidRDefault="00AE5E48" w:rsidP="009B133B">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Admission of ED Patients with Acuity Score 4-5: Percent of patients given an acuity score of 4 or 5 in ED Triage that go on to be admitted to Inpatient, Observation, or Outpatient in a bed.</w:t>
            </w:r>
          </w:p>
        </w:tc>
        <w:tc>
          <w:tcPr>
            <w:tcW w:w="3235" w:type="dxa"/>
          </w:tcPr>
          <w:p w:rsidR="00AE5E48" w:rsidRPr="00AE5E48" w:rsidRDefault="00AE5E48">
            <w:pPr>
              <w:rPr>
                <w:rStyle w:val="Hyperlink"/>
                <w:rFonts w:ascii="Times New Roman" w:hAnsi="Times New Roman" w:cs="Times New Roman"/>
                <w:color w:val="171717" w:themeColor="background2" w:themeShade="1A"/>
                <w:sz w:val="24"/>
                <w:szCs w:val="24"/>
                <w:u w:val="none"/>
              </w:rPr>
            </w:pPr>
            <w:r w:rsidRPr="00AE5E48">
              <w:rPr>
                <w:rStyle w:val="Hyperlink"/>
                <w:rFonts w:ascii="Times New Roman" w:hAnsi="Times New Roman" w:cs="Times New Roman"/>
                <w:color w:val="171717" w:themeColor="background2" w:themeShade="1A"/>
                <w:sz w:val="24"/>
                <w:szCs w:val="24"/>
                <w:u w:val="none"/>
              </w:rPr>
              <w:t>Continuing to explore this measure</w:t>
            </w:r>
          </w:p>
        </w:tc>
      </w:tr>
      <w:tr w:rsidR="00AE5E48" w:rsidRPr="00AE5E48" w:rsidTr="0012064B">
        <w:tc>
          <w:tcPr>
            <w:tcW w:w="6115" w:type="dxa"/>
          </w:tcPr>
          <w:p w:rsidR="004169A4" w:rsidRPr="00AE5E48" w:rsidRDefault="004169A4" w:rsidP="009B133B">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5 year survival ALL/AML: % of patients at least 18 months old alive after 5 years of treatment</w:t>
            </w:r>
          </w:p>
        </w:tc>
        <w:tc>
          <w:tcPr>
            <w:tcW w:w="3235" w:type="dxa"/>
          </w:tcPr>
          <w:p w:rsidR="004169A4" w:rsidRPr="00AE5E48" w:rsidRDefault="00487D97">
            <w:pPr>
              <w:rPr>
                <w:rFonts w:ascii="Times New Roman" w:hAnsi="Times New Roman" w:cs="Times New Roman"/>
                <w:color w:val="171717" w:themeColor="background2" w:themeShade="1A"/>
                <w:sz w:val="24"/>
                <w:szCs w:val="24"/>
              </w:rPr>
            </w:pPr>
            <w:r w:rsidRPr="00AE5E48">
              <w:rPr>
                <w:rStyle w:val="Hyperlink"/>
                <w:rFonts w:ascii="Times New Roman" w:hAnsi="Times New Roman" w:cs="Times New Roman"/>
                <w:color w:val="171717" w:themeColor="background2" w:themeShade="1A"/>
                <w:sz w:val="24"/>
                <w:szCs w:val="24"/>
                <w:u w:val="none"/>
              </w:rPr>
              <w:t>Small sample size</w:t>
            </w:r>
          </w:p>
        </w:tc>
      </w:tr>
      <w:tr w:rsidR="00AE5E48" w:rsidRPr="00AE5E48" w:rsidTr="0012064B">
        <w:tc>
          <w:tcPr>
            <w:tcW w:w="6115" w:type="dxa"/>
          </w:tcPr>
          <w:p w:rsidR="004169A4" w:rsidRPr="00AE5E48" w:rsidRDefault="004169A4" w:rsidP="009B133B">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lastRenderedPageBreak/>
              <w:t>Median Hemoglobin A1C: Median HgbA1C in patients with Type 1 diabetes mellitus</w:t>
            </w:r>
          </w:p>
        </w:tc>
        <w:tc>
          <w:tcPr>
            <w:tcW w:w="3235" w:type="dxa"/>
          </w:tcPr>
          <w:p w:rsidR="004169A4" w:rsidRPr="00AE5E48" w:rsidRDefault="00487D97">
            <w:pPr>
              <w:rPr>
                <w:rFonts w:ascii="Times New Roman" w:hAnsi="Times New Roman" w:cs="Times New Roman"/>
                <w:color w:val="171717" w:themeColor="background2" w:themeShade="1A"/>
                <w:sz w:val="24"/>
                <w:szCs w:val="24"/>
              </w:rPr>
            </w:pPr>
            <w:r w:rsidRPr="00AE5E48">
              <w:rPr>
                <w:rStyle w:val="Hyperlink"/>
                <w:rFonts w:ascii="Times New Roman" w:hAnsi="Times New Roman" w:cs="Times New Roman"/>
                <w:color w:val="171717" w:themeColor="background2" w:themeShade="1A"/>
                <w:sz w:val="24"/>
                <w:szCs w:val="24"/>
                <w:u w:val="none"/>
              </w:rPr>
              <w:t>Small sample size</w:t>
            </w:r>
          </w:p>
        </w:tc>
      </w:tr>
      <w:tr w:rsidR="00AE5E48" w:rsidRPr="00AE5E48" w:rsidTr="0012064B">
        <w:tc>
          <w:tcPr>
            <w:tcW w:w="6115" w:type="dxa"/>
          </w:tcPr>
          <w:p w:rsidR="004169A4" w:rsidRPr="00AE5E48" w:rsidRDefault="004169A4" w:rsidP="009B133B">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 xml:space="preserve">% of patients with ED revisit or hospital admission for asthma within 30 days of asthma ED or hospital visit discharge </w:t>
            </w:r>
          </w:p>
        </w:tc>
        <w:tc>
          <w:tcPr>
            <w:tcW w:w="3235" w:type="dxa"/>
          </w:tcPr>
          <w:p w:rsidR="004169A4" w:rsidRPr="00AE5E48" w:rsidRDefault="00487D97">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Overlap with Asthma Well-Controlled measure</w:t>
            </w:r>
          </w:p>
        </w:tc>
      </w:tr>
      <w:tr w:rsidR="00AE5E48" w:rsidRPr="00AE5E48" w:rsidTr="0012064B">
        <w:tc>
          <w:tcPr>
            <w:tcW w:w="6115" w:type="dxa"/>
          </w:tcPr>
          <w:p w:rsidR="004169A4" w:rsidRPr="00AE5E48" w:rsidRDefault="004169A4">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Percentage of children 3 months to 18 years of age with a diagnosis of upper respiratory infection (URI) who were not dispensed an antibiotic medication.</w:t>
            </w:r>
          </w:p>
        </w:tc>
        <w:tc>
          <w:tcPr>
            <w:tcW w:w="3235" w:type="dxa"/>
          </w:tcPr>
          <w:p w:rsidR="004169A4" w:rsidRPr="00AE5E48" w:rsidRDefault="004169A4">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HEDIS measure</w:t>
            </w:r>
          </w:p>
          <w:p w:rsidR="004169A4" w:rsidRPr="00AE5E48" w:rsidRDefault="004169A4" w:rsidP="00487D97">
            <w:pPr>
              <w:rPr>
                <w:rFonts w:ascii="Times New Roman" w:hAnsi="Times New Roman" w:cs="Times New Roman"/>
                <w:color w:val="171717" w:themeColor="background2" w:themeShade="1A"/>
                <w:sz w:val="24"/>
                <w:szCs w:val="24"/>
              </w:rPr>
            </w:pPr>
            <w:hyperlink r:id="rId7" w:history="1">
              <w:r w:rsidRPr="00AE5E48">
                <w:rPr>
                  <w:rStyle w:val="Hyperlink"/>
                  <w:rFonts w:ascii="Times New Roman" w:hAnsi="Times New Roman" w:cs="Times New Roman"/>
                  <w:color w:val="171717" w:themeColor="background2" w:themeShade="1A"/>
                  <w:sz w:val="24"/>
                  <w:szCs w:val="24"/>
                </w:rPr>
                <w:t>https://www.ncqa.org/hedis/measures/</w:t>
              </w:r>
            </w:hyperlink>
          </w:p>
        </w:tc>
      </w:tr>
      <w:tr w:rsidR="00AE5E48" w:rsidRPr="00AE5E48" w:rsidTr="0012064B">
        <w:tc>
          <w:tcPr>
            <w:tcW w:w="6115" w:type="dxa"/>
          </w:tcPr>
          <w:p w:rsidR="004169A4" w:rsidRPr="00AE5E48" w:rsidRDefault="004169A4" w:rsidP="004169A4">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Percentage of patients, regardless of age, with a diagnosis of HIV with a HIV viral load less than 200 copies/mL at last HIV viral load test during the measurement year.</w:t>
            </w:r>
          </w:p>
          <w:p w:rsidR="004169A4" w:rsidRPr="00AE5E48" w:rsidRDefault="004169A4">
            <w:pPr>
              <w:rPr>
                <w:rFonts w:ascii="Times New Roman" w:hAnsi="Times New Roman" w:cs="Times New Roman"/>
                <w:color w:val="171717" w:themeColor="background2" w:themeShade="1A"/>
                <w:sz w:val="24"/>
                <w:szCs w:val="24"/>
              </w:rPr>
            </w:pPr>
          </w:p>
        </w:tc>
        <w:tc>
          <w:tcPr>
            <w:tcW w:w="3235" w:type="dxa"/>
          </w:tcPr>
          <w:p w:rsidR="004169A4" w:rsidRPr="00AE5E48" w:rsidRDefault="004169A4" w:rsidP="00487D97">
            <w:pPr>
              <w:rPr>
                <w:rFonts w:ascii="Times New Roman" w:hAnsi="Times New Roman" w:cs="Times New Roman"/>
                <w:color w:val="171717" w:themeColor="background2" w:themeShade="1A"/>
                <w:sz w:val="24"/>
                <w:szCs w:val="24"/>
              </w:rPr>
            </w:pPr>
            <w:hyperlink r:id="rId8" w:history="1">
              <w:r w:rsidRPr="00AE5E48">
                <w:rPr>
                  <w:rStyle w:val="Hyperlink"/>
                  <w:rFonts w:ascii="Times New Roman" w:hAnsi="Times New Roman" w:cs="Times New Roman"/>
                  <w:color w:val="171717" w:themeColor="background2" w:themeShade="1A"/>
                  <w:sz w:val="24"/>
                  <w:szCs w:val="24"/>
                </w:rPr>
                <w:t>https://qpp.cms.gov/docs/QPP_quality_measure_specifications/Claims-Registry-Measures/2018_Measure_338_Registry.pdf</w:t>
              </w:r>
            </w:hyperlink>
          </w:p>
        </w:tc>
      </w:tr>
      <w:tr w:rsidR="00AE5E48" w:rsidRPr="00AE5E48" w:rsidTr="0012064B">
        <w:tc>
          <w:tcPr>
            <w:tcW w:w="6115" w:type="dxa"/>
          </w:tcPr>
          <w:p w:rsidR="004169A4" w:rsidRPr="00AE5E48" w:rsidRDefault="004169A4" w:rsidP="00487D97">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Percent of patients undergoing index pediatric and/or congenital heart surgery who die, including both 1) all deaths occurring during the hospitalization in which the procedure was performed, even if after 30 days (including patients transferred to other acute care facilities), and 2) those deaths occurring after discharge from the hospital, but within 30 days of the procedure, stratified by the five STAT Mortality Levels, a multi-institutional validated complexity stratification tool.</w:t>
            </w:r>
          </w:p>
        </w:tc>
        <w:tc>
          <w:tcPr>
            <w:tcW w:w="3235" w:type="dxa"/>
          </w:tcPr>
          <w:p w:rsidR="004169A4" w:rsidRPr="00AE5E48" w:rsidRDefault="004169A4" w:rsidP="00487D97">
            <w:pPr>
              <w:rPr>
                <w:rFonts w:ascii="Times New Roman" w:hAnsi="Times New Roman" w:cs="Times New Roman"/>
                <w:color w:val="171717" w:themeColor="background2" w:themeShade="1A"/>
                <w:sz w:val="24"/>
                <w:szCs w:val="24"/>
              </w:rPr>
            </w:pPr>
            <w:hyperlink r:id="rId9" w:anchor="STATMortality" w:history="1">
              <w:r w:rsidRPr="00AE5E48">
                <w:rPr>
                  <w:rStyle w:val="Hyperlink"/>
                  <w:rFonts w:ascii="Times New Roman" w:hAnsi="Times New Roman" w:cs="Times New Roman"/>
                  <w:color w:val="171717" w:themeColor="background2" w:themeShade="1A"/>
                  <w:sz w:val="24"/>
                  <w:szCs w:val="24"/>
                </w:rPr>
                <w:t>https://www.sts.org/quality-safety/performance-measures/descriptions#STATMortality</w:t>
              </w:r>
            </w:hyperlink>
          </w:p>
        </w:tc>
      </w:tr>
      <w:tr w:rsidR="00AE5E48" w:rsidRPr="00AE5E48" w:rsidTr="0012064B">
        <w:tc>
          <w:tcPr>
            <w:tcW w:w="6115" w:type="dxa"/>
          </w:tcPr>
          <w:p w:rsidR="004169A4" w:rsidRPr="00AE5E48" w:rsidRDefault="004169A4" w:rsidP="00487D97">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The total number of patients requiring unscheduled readmission to the ICU within 24 hours of discharge or transfer.</w:t>
            </w:r>
          </w:p>
        </w:tc>
        <w:tc>
          <w:tcPr>
            <w:tcW w:w="3235" w:type="dxa"/>
          </w:tcPr>
          <w:p w:rsidR="004169A4" w:rsidRPr="00AE5E48" w:rsidRDefault="004169A4" w:rsidP="004169A4">
            <w:pPr>
              <w:rPr>
                <w:rFonts w:ascii="Times New Roman" w:hAnsi="Times New Roman" w:cs="Times New Roman"/>
                <w:color w:val="171717" w:themeColor="background2" w:themeShade="1A"/>
                <w:sz w:val="24"/>
                <w:szCs w:val="24"/>
              </w:rPr>
            </w:pPr>
            <w:hyperlink r:id="rId10" w:history="1">
              <w:r w:rsidRPr="00AE5E48">
                <w:rPr>
                  <w:rStyle w:val="Hyperlink"/>
                  <w:rFonts w:ascii="Times New Roman" w:hAnsi="Times New Roman" w:cs="Times New Roman"/>
                  <w:color w:val="171717" w:themeColor="background2" w:themeShade="1A"/>
                  <w:sz w:val="24"/>
                  <w:szCs w:val="24"/>
                </w:rPr>
                <w:t>http://www.qualityforum.org/QPS/0335</w:t>
              </w:r>
            </w:hyperlink>
          </w:p>
          <w:p w:rsidR="004169A4" w:rsidRPr="00AE5E48" w:rsidRDefault="004169A4">
            <w:pPr>
              <w:rPr>
                <w:rFonts w:ascii="Times New Roman" w:hAnsi="Times New Roman" w:cs="Times New Roman"/>
                <w:color w:val="171717" w:themeColor="background2" w:themeShade="1A"/>
                <w:sz w:val="24"/>
                <w:szCs w:val="24"/>
              </w:rPr>
            </w:pPr>
          </w:p>
        </w:tc>
      </w:tr>
      <w:tr w:rsidR="00AE5E48" w:rsidRPr="00AE5E48" w:rsidTr="0012064B">
        <w:tc>
          <w:tcPr>
            <w:tcW w:w="6115" w:type="dxa"/>
          </w:tcPr>
          <w:p w:rsidR="004169A4" w:rsidRPr="00AE5E48" w:rsidRDefault="004169A4" w:rsidP="00487D97">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Proportion of infants born from 22 weeks, 0 days to 29 weeks, 6 days gestational age who were in the reporting hospital at the postnatal age recommended for screening for retinopathy of prematurity (ROP) by the American Academy of Pediatrics (AAP) and who received a retinal examination for ROP prior to discharge.</w:t>
            </w:r>
          </w:p>
        </w:tc>
        <w:tc>
          <w:tcPr>
            <w:tcW w:w="3235" w:type="dxa"/>
          </w:tcPr>
          <w:p w:rsidR="004169A4" w:rsidRPr="00AE5E48" w:rsidRDefault="004169A4" w:rsidP="004169A4">
            <w:pPr>
              <w:rPr>
                <w:rStyle w:val="Hyperlink"/>
                <w:rFonts w:ascii="Times New Roman" w:hAnsi="Times New Roman" w:cs="Times New Roman"/>
                <w:color w:val="171717" w:themeColor="background2" w:themeShade="1A"/>
                <w:sz w:val="24"/>
                <w:szCs w:val="24"/>
              </w:rPr>
            </w:pPr>
            <w:hyperlink r:id="rId11" w:history="1">
              <w:r w:rsidRPr="00AE5E48">
                <w:rPr>
                  <w:rStyle w:val="Hyperlink"/>
                  <w:rFonts w:ascii="Times New Roman" w:hAnsi="Times New Roman" w:cs="Times New Roman"/>
                  <w:color w:val="171717" w:themeColor="background2" w:themeShade="1A"/>
                  <w:sz w:val="24"/>
                  <w:szCs w:val="24"/>
                </w:rPr>
                <w:t>https://public.vtoxford.org/wp-content/uploads/2018/12/NQF_Measure_0483.pdf</w:t>
              </w:r>
            </w:hyperlink>
          </w:p>
        </w:tc>
      </w:tr>
      <w:tr w:rsidR="00AE5E48" w:rsidRPr="00AE5E48" w:rsidTr="0012064B">
        <w:tc>
          <w:tcPr>
            <w:tcW w:w="6115" w:type="dxa"/>
          </w:tcPr>
          <w:p w:rsidR="004169A4" w:rsidRPr="00AE5E48" w:rsidRDefault="004169A4" w:rsidP="004169A4">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Risk-adjusted Late Sepsis or Meningitis in Very Low Birth Weight Neonates [Nosocomial Infections]</w:t>
            </w:r>
          </w:p>
          <w:p w:rsidR="004169A4" w:rsidRPr="00AE5E48" w:rsidRDefault="004169A4" w:rsidP="004169A4">
            <w:pPr>
              <w:rPr>
                <w:rFonts w:ascii="Times New Roman" w:hAnsi="Times New Roman" w:cs="Times New Roman"/>
                <w:color w:val="171717" w:themeColor="background2" w:themeShade="1A"/>
                <w:sz w:val="24"/>
                <w:szCs w:val="24"/>
              </w:rPr>
            </w:pPr>
          </w:p>
        </w:tc>
        <w:tc>
          <w:tcPr>
            <w:tcW w:w="3235" w:type="dxa"/>
          </w:tcPr>
          <w:p w:rsidR="004169A4" w:rsidRPr="00AE5E48" w:rsidRDefault="004169A4" w:rsidP="00487D97">
            <w:pPr>
              <w:rPr>
                <w:rStyle w:val="Hyperlink"/>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https://public.vtoxford.org/wp-content/uploads/2018/12/NQF_Measure_0304.pdf</w:t>
            </w:r>
          </w:p>
        </w:tc>
      </w:tr>
      <w:tr w:rsidR="00AE5E48" w:rsidRPr="00AE5E48" w:rsidTr="0012064B">
        <w:tc>
          <w:tcPr>
            <w:tcW w:w="6115" w:type="dxa"/>
          </w:tcPr>
          <w:p w:rsidR="004169A4" w:rsidRPr="00AE5E48" w:rsidRDefault="006868A9" w:rsidP="00487D97">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Calls</w:t>
            </w:r>
            <w:r w:rsidR="004169A4" w:rsidRPr="00AE5E48">
              <w:rPr>
                <w:rFonts w:ascii="Times New Roman" w:hAnsi="Times New Roman" w:cs="Times New Roman"/>
                <w:color w:val="171717" w:themeColor="background2" w:themeShade="1A"/>
                <w:sz w:val="24"/>
                <w:szCs w:val="24"/>
              </w:rPr>
              <w:t xml:space="preserve"> to security by race/ethnicity of the patient vs. caller</w:t>
            </w:r>
          </w:p>
        </w:tc>
        <w:tc>
          <w:tcPr>
            <w:tcW w:w="3235" w:type="dxa"/>
          </w:tcPr>
          <w:p w:rsidR="004169A4" w:rsidRPr="00AE5E48" w:rsidRDefault="00487D97" w:rsidP="004169A4">
            <w:pPr>
              <w:rPr>
                <w:rStyle w:val="Hyperlink"/>
                <w:rFonts w:ascii="Times New Roman" w:hAnsi="Times New Roman" w:cs="Times New Roman"/>
                <w:color w:val="171717" w:themeColor="background2" w:themeShade="1A"/>
                <w:sz w:val="24"/>
                <w:szCs w:val="24"/>
              </w:rPr>
            </w:pPr>
            <w:r w:rsidRPr="00AE5E48">
              <w:rPr>
                <w:rStyle w:val="Hyperlink"/>
                <w:rFonts w:ascii="Times New Roman" w:hAnsi="Times New Roman" w:cs="Times New Roman"/>
                <w:color w:val="171717" w:themeColor="background2" w:themeShade="1A"/>
                <w:sz w:val="24"/>
                <w:szCs w:val="24"/>
                <w:u w:val="none"/>
              </w:rPr>
              <w:t>Small sample size</w:t>
            </w:r>
          </w:p>
        </w:tc>
      </w:tr>
      <w:tr w:rsidR="00AE5E48" w:rsidRPr="00AE5E48" w:rsidTr="0012064B">
        <w:tc>
          <w:tcPr>
            <w:tcW w:w="6115" w:type="dxa"/>
          </w:tcPr>
          <w:p w:rsidR="004169A4" w:rsidRPr="00AE5E48" w:rsidRDefault="004169A4" w:rsidP="00487D97">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“Code Green” calls</w:t>
            </w:r>
          </w:p>
        </w:tc>
        <w:tc>
          <w:tcPr>
            <w:tcW w:w="3235" w:type="dxa"/>
          </w:tcPr>
          <w:p w:rsidR="004169A4" w:rsidRPr="00AE5E48" w:rsidRDefault="00487D97" w:rsidP="004169A4">
            <w:pPr>
              <w:rPr>
                <w:rStyle w:val="Hyperlink"/>
                <w:rFonts w:ascii="Times New Roman" w:hAnsi="Times New Roman" w:cs="Times New Roman"/>
                <w:color w:val="171717" w:themeColor="background2" w:themeShade="1A"/>
                <w:sz w:val="24"/>
                <w:szCs w:val="24"/>
              </w:rPr>
            </w:pPr>
            <w:r w:rsidRPr="00AE5E48">
              <w:rPr>
                <w:rStyle w:val="Hyperlink"/>
                <w:rFonts w:ascii="Times New Roman" w:hAnsi="Times New Roman" w:cs="Times New Roman"/>
                <w:color w:val="171717" w:themeColor="background2" w:themeShade="1A"/>
                <w:sz w:val="24"/>
                <w:szCs w:val="24"/>
                <w:u w:val="none"/>
              </w:rPr>
              <w:t>Small sample size</w:t>
            </w:r>
          </w:p>
        </w:tc>
      </w:tr>
      <w:tr w:rsidR="00AE5E48" w:rsidRPr="00AE5E48" w:rsidTr="0012064B">
        <w:tc>
          <w:tcPr>
            <w:tcW w:w="6115" w:type="dxa"/>
          </w:tcPr>
          <w:p w:rsidR="004169A4" w:rsidRPr="00AE5E48" w:rsidRDefault="004169A4" w:rsidP="004169A4">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NRC survey</w:t>
            </w:r>
            <w:r w:rsidRPr="00AE5E48">
              <w:rPr>
                <w:rFonts w:ascii="Times New Roman" w:hAnsi="Times New Roman" w:cs="Times New Roman"/>
                <w:color w:val="171717" w:themeColor="background2" w:themeShade="1A"/>
                <w:sz w:val="24"/>
                <w:szCs w:val="24"/>
              </w:rPr>
              <w:t xml:space="preserve"> (patient satisfaction) results</w:t>
            </w:r>
          </w:p>
        </w:tc>
        <w:tc>
          <w:tcPr>
            <w:tcW w:w="3235" w:type="dxa"/>
          </w:tcPr>
          <w:p w:rsidR="004169A4" w:rsidRPr="00AE5E48" w:rsidRDefault="00487D97" w:rsidP="004169A4">
            <w:pPr>
              <w:rPr>
                <w:rStyle w:val="Hyperlink"/>
                <w:rFonts w:ascii="Times New Roman" w:hAnsi="Times New Roman" w:cs="Times New Roman"/>
                <w:color w:val="171717" w:themeColor="background2" w:themeShade="1A"/>
                <w:sz w:val="24"/>
                <w:szCs w:val="24"/>
                <w:u w:val="none"/>
              </w:rPr>
            </w:pPr>
            <w:r w:rsidRPr="00AE5E48">
              <w:rPr>
                <w:rStyle w:val="Hyperlink"/>
                <w:rFonts w:ascii="Times New Roman" w:hAnsi="Times New Roman" w:cs="Times New Roman"/>
                <w:color w:val="171717" w:themeColor="background2" w:themeShade="1A"/>
                <w:sz w:val="24"/>
                <w:szCs w:val="24"/>
                <w:u w:val="none"/>
              </w:rPr>
              <w:t>Low response rates (~15-20%) may skew results. Continuing to explore this measure.</w:t>
            </w:r>
          </w:p>
        </w:tc>
      </w:tr>
      <w:tr w:rsidR="00AE5E48" w:rsidRPr="00AE5E48" w:rsidTr="0012064B">
        <w:tc>
          <w:tcPr>
            <w:tcW w:w="6115" w:type="dxa"/>
          </w:tcPr>
          <w:p w:rsidR="004169A4" w:rsidRPr="00AE5E48" w:rsidRDefault="006868A9" w:rsidP="004169A4">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P</w:t>
            </w:r>
            <w:r w:rsidR="004169A4" w:rsidRPr="00AE5E48">
              <w:rPr>
                <w:rFonts w:ascii="Times New Roman" w:hAnsi="Times New Roman" w:cs="Times New Roman"/>
                <w:color w:val="171717" w:themeColor="background2" w:themeShade="1A"/>
                <w:sz w:val="24"/>
                <w:szCs w:val="24"/>
              </w:rPr>
              <w:t>reventable harm events (e.g. falls, pressure injury)</w:t>
            </w:r>
          </w:p>
        </w:tc>
        <w:tc>
          <w:tcPr>
            <w:tcW w:w="3235" w:type="dxa"/>
          </w:tcPr>
          <w:p w:rsidR="004169A4" w:rsidRPr="00AE5E48" w:rsidRDefault="004169A4" w:rsidP="004169A4">
            <w:pPr>
              <w:rPr>
                <w:rStyle w:val="Hyperlink"/>
                <w:rFonts w:ascii="Times New Roman" w:hAnsi="Times New Roman" w:cs="Times New Roman"/>
                <w:color w:val="171717" w:themeColor="background2" w:themeShade="1A"/>
                <w:sz w:val="24"/>
                <w:szCs w:val="24"/>
                <w:u w:val="none"/>
              </w:rPr>
            </w:pPr>
            <w:r w:rsidRPr="00AE5E48">
              <w:rPr>
                <w:rStyle w:val="Hyperlink"/>
                <w:rFonts w:ascii="Times New Roman" w:hAnsi="Times New Roman" w:cs="Times New Roman"/>
                <w:color w:val="171717" w:themeColor="background2" w:themeShade="1A"/>
                <w:sz w:val="24"/>
                <w:szCs w:val="24"/>
                <w:u w:val="none"/>
              </w:rPr>
              <w:t>Reporting to Solutions for Patient Safety</w:t>
            </w:r>
            <w:r w:rsidR="00487D97" w:rsidRPr="00AE5E48">
              <w:rPr>
                <w:rStyle w:val="Hyperlink"/>
                <w:rFonts w:ascii="Times New Roman" w:hAnsi="Times New Roman" w:cs="Times New Roman"/>
                <w:color w:val="171717" w:themeColor="background2" w:themeShade="1A"/>
                <w:sz w:val="24"/>
                <w:szCs w:val="24"/>
                <w:u w:val="none"/>
              </w:rPr>
              <w:t xml:space="preserve">. Continuing to explore this measure. </w:t>
            </w:r>
            <w:r w:rsidR="00487D97" w:rsidRPr="00AE5E48">
              <w:rPr>
                <w:rStyle w:val="Hyperlink"/>
                <w:rFonts w:ascii="Times New Roman" w:hAnsi="Times New Roman" w:cs="Times New Roman"/>
                <w:color w:val="171717" w:themeColor="background2" w:themeShade="1A"/>
                <w:sz w:val="24"/>
                <w:szCs w:val="24"/>
                <w:u w:val="none"/>
              </w:rPr>
              <w:t>Small sample size</w:t>
            </w:r>
            <w:r w:rsidR="00487D97" w:rsidRPr="00AE5E48">
              <w:rPr>
                <w:rStyle w:val="Hyperlink"/>
                <w:rFonts w:ascii="Times New Roman" w:hAnsi="Times New Roman" w:cs="Times New Roman"/>
                <w:color w:val="171717" w:themeColor="background2" w:themeShade="1A"/>
                <w:sz w:val="24"/>
                <w:szCs w:val="24"/>
                <w:u w:val="none"/>
              </w:rPr>
              <w:t xml:space="preserve">. </w:t>
            </w:r>
          </w:p>
        </w:tc>
      </w:tr>
      <w:tr w:rsidR="00AE5E48" w:rsidRPr="00AE5E48" w:rsidTr="0012064B">
        <w:tc>
          <w:tcPr>
            <w:tcW w:w="6115" w:type="dxa"/>
          </w:tcPr>
          <w:p w:rsidR="004169A4" w:rsidRPr="00AE5E48" w:rsidRDefault="004169A4" w:rsidP="004169A4">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Medication reconciliation completion rate</w:t>
            </w:r>
          </w:p>
        </w:tc>
        <w:tc>
          <w:tcPr>
            <w:tcW w:w="3235" w:type="dxa"/>
          </w:tcPr>
          <w:p w:rsidR="004169A4" w:rsidRPr="00AE5E48" w:rsidRDefault="00487D97" w:rsidP="004169A4">
            <w:pPr>
              <w:rPr>
                <w:rStyle w:val="Hyperlink"/>
                <w:rFonts w:ascii="Times New Roman" w:hAnsi="Times New Roman" w:cs="Times New Roman"/>
                <w:color w:val="171717" w:themeColor="background2" w:themeShade="1A"/>
                <w:sz w:val="24"/>
                <w:szCs w:val="24"/>
                <w:u w:val="none"/>
              </w:rPr>
            </w:pPr>
            <w:r w:rsidRPr="00AE5E48">
              <w:rPr>
                <w:rStyle w:val="Hyperlink"/>
                <w:rFonts w:ascii="Times New Roman" w:hAnsi="Times New Roman" w:cs="Times New Roman"/>
                <w:color w:val="171717" w:themeColor="background2" w:themeShade="1A"/>
                <w:sz w:val="24"/>
                <w:szCs w:val="24"/>
                <w:u w:val="none"/>
              </w:rPr>
              <w:t>Completion ≠ accurate</w:t>
            </w:r>
          </w:p>
        </w:tc>
      </w:tr>
      <w:tr w:rsidR="00AE5E48" w:rsidRPr="00AE5E48" w:rsidTr="0012064B">
        <w:tc>
          <w:tcPr>
            <w:tcW w:w="6115" w:type="dxa"/>
          </w:tcPr>
          <w:p w:rsidR="004169A4" w:rsidRPr="00AE5E48" w:rsidRDefault="004169A4" w:rsidP="004169A4">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Time to antibiotics:</w:t>
            </w:r>
          </w:p>
          <w:p w:rsidR="004169A4" w:rsidRPr="00AE5E48" w:rsidRDefault="004169A4" w:rsidP="004169A4">
            <w:pPr>
              <w:pStyle w:val="ListParagraph"/>
              <w:numPr>
                <w:ilvl w:val="0"/>
                <w:numId w:val="1"/>
              </w:num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Febrile infant</w:t>
            </w:r>
          </w:p>
          <w:p w:rsidR="004169A4" w:rsidRPr="00AE5E48" w:rsidRDefault="004169A4" w:rsidP="004169A4">
            <w:pPr>
              <w:pStyle w:val="ListParagraph"/>
              <w:numPr>
                <w:ilvl w:val="0"/>
                <w:numId w:val="1"/>
              </w:num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lastRenderedPageBreak/>
              <w:t>Neutropenic fever</w:t>
            </w:r>
          </w:p>
          <w:p w:rsidR="004169A4" w:rsidRPr="00AE5E48" w:rsidRDefault="004169A4" w:rsidP="004169A4">
            <w:pPr>
              <w:pStyle w:val="ListParagraph"/>
              <w:numPr>
                <w:ilvl w:val="0"/>
                <w:numId w:val="1"/>
              </w:num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Sickle Cell</w:t>
            </w:r>
          </w:p>
          <w:p w:rsidR="004169A4" w:rsidRPr="00AE5E48" w:rsidRDefault="004169A4" w:rsidP="004169A4">
            <w:pPr>
              <w:pStyle w:val="ListParagraph"/>
              <w:numPr>
                <w:ilvl w:val="0"/>
                <w:numId w:val="1"/>
              </w:num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Sepsis</w:t>
            </w:r>
          </w:p>
        </w:tc>
        <w:tc>
          <w:tcPr>
            <w:tcW w:w="3235" w:type="dxa"/>
          </w:tcPr>
          <w:p w:rsidR="004169A4" w:rsidRPr="00AE5E48" w:rsidRDefault="00B5348A" w:rsidP="004169A4">
            <w:pPr>
              <w:rPr>
                <w:rStyle w:val="Hyperlink"/>
                <w:rFonts w:ascii="Times New Roman" w:hAnsi="Times New Roman" w:cs="Times New Roman"/>
                <w:color w:val="171717" w:themeColor="background2" w:themeShade="1A"/>
                <w:sz w:val="24"/>
                <w:szCs w:val="24"/>
                <w:u w:val="none"/>
              </w:rPr>
            </w:pPr>
            <w:r w:rsidRPr="00AE5E48">
              <w:rPr>
                <w:rStyle w:val="Hyperlink"/>
                <w:rFonts w:ascii="Times New Roman" w:hAnsi="Times New Roman" w:cs="Times New Roman"/>
                <w:color w:val="171717" w:themeColor="background2" w:themeShade="1A"/>
                <w:sz w:val="24"/>
                <w:szCs w:val="24"/>
                <w:u w:val="none"/>
              </w:rPr>
              <w:lastRenderedPageBreak/>
              <w:t>Small sample size</w:t>
            </w:r>
          </w:p>
        </w:tc>
      </w:tr>
      <w:tr w:rsidR="00AE5E48" w:rsidRPr="00AE5E48" w:rsidTr="0012064B">
        <w:tc>
          <w:tcPr>
            <w:tcW w:w="6115" w:type="dxa"/>
          </w:tcPr>
          <w:p w:rsidR="004169A4" w:rsidRPr="00AE5E48" w:rsidRDefault="004169A4" w:rsidP="004169A4">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Time to pain medication</w:t>
            </w:r>
          </w:p>
          <w:p w:rsidR="004169A4" w:rsidRPr="00AE5E48" w:rsidRDefault="004169A4" w:rsidP="004169A4">
            <w:pPr>
              <w:pStyle w:val="ListParagraph"/>
              <w:numPr>
                <w:ilvl w:val="0"/>
                <w:numId w:val="2"/>
              </w:num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Long bone fracture</w:t>
            </w:r>
          </w:p>
          <w:p w:rsidR="004169A4" w:rsidRPr="00AE5E48" w:rsidRDefault="004169A4" w:rsidP="004169A4">
            <w:pPr>
              <w:pStyle w:val="ListParagraph"/>
              <w:numPr>
                <w:ilvl w:val="0"/>
                <w:numId w:val="2"/>
              </w:num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Surgery</w:t>
            </w:r>
          </w:p>
          <w:p w:rsidR="004169A4" w:rsidRPr="00AE5E48" w:rsidRDefault="004169A4" w:rsidP="004169A4">
            <w:pPr>
              <w:pStyle w:val="ListParagraph"/>
              <w:numPr>
                <w:ilvl w:val="0"/>
                <w:numId w:val="2"/>
              </w:num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Head injury</w:t>
            </w:r>
          </w:p>
        </w:tc>
        <w:tc>
          <w:tcPr>
            <w:tcW w:w="3235" w:type="dxa"/>
          </w:tcPr>
          <w:p w:rsidR="004169A4" w:rsidRPr="00AE5E48" w:rsidRDefault="00B5348A" w:rsidP="004169A4">
            <w:pPr>
              <w:rPr>
                <w:rStyle w:val="Hyperlink"/>
                <w:rFonts w:ascii="Times New Roman" w:hAnsi="Times New Roman" w:cs="Times New Roman"/>
                <w:color w:val="171717" w:themeColor="background2" w:themeShade="1A"/>
                <w:sz w:val="24"/>
                <w:szCs w:val="24"/>
              </w:rPr>
            </w:pPr>
            <w:r w:rsidRPr="00AE5E48">
              <w:rPr>
                <w:rStyle w:val="Hyperlink"/>
                <w:rFonts w:ascii="Times New Roman" w:hAnsi="Times New Roman" w:cs="Times New Roman"/>
                <w:color w:val="171717" w:themeColor="background2" w:themeShade="1A"/>
                <w:sz w:val="24"/>
                <w:szCs w:val="24"/>
                <w:u w:val="none"/>
              </w:rPr>
              <w:t>Small sample size</w:t>
            </w:r>
          </w:p>
        </w:tc>
      </w:tr>
      <w:tr w:rsidR="00AE5E48" w:rsidRPr="00AE5E48" w:rsidTr="0012064B">
        <w:tc>
          <w:tcPr>
            <w:tcW w:w="6115" w:type="dxa"/>
          </w:tcPr>
          <w:p w:rsidR="004169A4" w:rsidRPr="00AE5E48" w:rsidRDefault="004169A4" w:rsidP="004169A4">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Frequency of pain assessment</w:t>
            </w:r>
          </w:p>
          <w:p w:rsidR="004169A4" w:rsidRPr="00AE5E48" w:rsidRDefault="004169A4" w:rsidP="004169A4">
            <w:pPr>
              <w:pStyle w:val="ListParagraph"/>
              <w:numPr>
                <w:ilvl w:val="0"/>
                <w:numId w:val="3"/>
              </w:num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Post-operatively</w:t>
            </w:r>
          </w:p>
          <w:p w:rsidR="004169A4" w:rsidRPr="00AE5E48" w:rsidRDefault="004169A4" w:rsidP="004169A4">
            <w:pPr>
              <w:pStyle w:val="ListParagraph"/>
              <w:numPr>
                <w:ilvl w:val="0"/>
                <w:numId w:val="3"/>
              </w:num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Long bone fracture</w:t>
            </w:r>
          </w:p>
          <w:p w:rsidR="004169A4" w:rsidRPr="00AE5E48" w:rsidRDefault="004169A4" w:rsidP="004169A4">
            <w:pPr>
              <w:pStyle w:val="ListParagraph"/>
              <w:numPr>
                <w:ilvl w:val="0"/>
                <w:numId w:val="3"/>
              </w:num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Trauma</w:t>
            </w:r>
          </w:p>
        </w:tc>
        <w:tc>
          <w:tcPr>
            <w:tcW w:w="3235" w:type="dxa"/>
          </w:tcPr>
          <w:p w:rsidR="004169A4" w:rsidRPr="00AE5E48" w:rsidRDefault="00487D97" w:rsidP="004169A4">
            <w:pPr>
              <w:rPr>
                <w:rStyle w:val="Hyperlink"/>
                <w:rFonts w:ascii="Times New Roman" w:hAnsi="Times New Roman" w:cs="Times New Roman"/>
                <w:color w:val="171717" w:themeColor="background2" w:themeShade="1A"/>
                <w:sz w:val="24"/>
                <w:szCs w:val="24"/>
                <w:u w:val="none"/>
              </w:rPr>
            </w:pPr>
            <w:r w:rsidRPr="00AE5E48">
              <w:rPr>
                <w:rStyle w:val="Hyperlink"/>
                <w:rFonts w:ascii="Times New Roman" w:hAnsi="Times New Roman" w:cs="Times New Roman"/>
                <w:color w:val="171717" w:themeColor="background2" w:themeShade="1A"/>
                <w:sz w:val="24"/>
                <w:szCs w:val="24"/>
                <w:u w:val="none"/>
              </w:rPr>
              <w:t>Small sample size</w:t>
            </w:r>
            <w:r w:rsidRPr="00AE5E48">
              <w:rPr>
                <w:rStyle w:val="Hyperlink"/>
                <w:rFonts w:ascii="Times New Roman" w:hAnsi="Times New Roman" w:cs="Times New Roman"/>
                <w:color w:val="171717" w:themeColor="background2" w:themeShade="1A"/>
                <w:sz w:val="24"/>
                <w:szCs w:val="24"/>
                <w:u w:val="none"/>
              </w:rPr>
              <w:t xml:space="preserve"> </w:t>
            </w:r>
          </w:p>
          <w:p w:rsidR="00487D97" w:rsidRPr="00AE5E48" w:rsidRDefault="00487D97" w:rsidP="004169A4">
            <w:pPr>
              <w:rPr>
                <w:rStyle w:val="Hyperlink"/>
                <w:rFonts w:ascii="Times New Roman" w:hAnsi="Times New Roman" w:cs="Times New Roman"/>
                <w:color w:val="171717" w:themeColor="background2" w:themeShade="1A"/>
                <w:sz w:val="24"/>
                <w:szCs w:val="24"/>
                <w:u w:val="none"/>
              </w:rPr>
            </w:pPr>
            <w:r w:rsidRPr="00AE5E48">
              <w:rPr>
                <w:rStyle w:val="Hyperlink"/>
                <w:rFonts w:ascii="Times New Roman" w:hAnsi="Times New Roman" w:cs="Times New Roman"/>
                <w:color w:val="171717" w:themeColor="background2" w:themeShade="1A"/>
                <w:sz w:val="24"/>
                <w:szCs w:val="24"/>
                <w:u w:val="none"/>
              </w:rPr>
              <w:t>Different pain scales used for different ages</w:t>
            </w:r>
          </w:p>
          <w:p w:rsidR="00487D97" w:rsidRPr="00AE5E48" w:rsidRDefault="00487D97" w:rsidP="004169A4">
            <w:pPr>
              <w:rPr>
                <w:rStyle w:val="Hyperlink"/>
                <w:rFonts w:ascii="Times New Roman" w:hAnsi="Times New Roman" w:cs="Times New Roman"/>
                <w:color w:val="171717" w:themeColor="background2" w:themeShade="1A"/>
                <w:sz w:val="24"/>
                <w:szCs w:val="24"/>
              </w:rPr>
            </w:pPr>
            <w:r w:rsidRPr="00AE5E48">
              <w:rPr>
                <w:rStyle w:val="Hyperlink"/>
                <w:rFonts w:ascii="Times New Roman" w:hAnsi="Times New Roman" w:cs="Times New Roman"/>
                <w:color w:val="171717" w:themeColor="background2" w:themeShade="1A"/>
                <w:sz w:val="24"/>
                <w:szCs w:val="24"/>
                <w:u w:val="none"/>
              </w:rPr>
              <w:t>Challenging to extract from EHR</w:t>
            </w:r>
          </w:p>
        </w:tc>
      </w:tr>
      <w:tr w:rsidR="00AE5E48" w:rsidRPr="00AE5E48" w:rsidTr="0012064B">
        <w:tc>
          <w:tcPr>
            <w:tcW w:w="6115" w:type="dxa"/>
          </w:tcPr>
          <w:p w:rsidR="004169A4" w:rsidRPr="00AE5E48" w:rsidRDefault="0012064B" w:rsidP="004169A4">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All-cause adverse events during anesthesia</w:t>
            </w:r>
          </w:p>
        </w:tc>
        <w:tc>
          <w:tcPr>
            <w:tcW w:w="3235" w:type="dxa"/>
          </w:tcPr>
          <w:p w:rsidR="004169A4" w:rsidRPr="00AE5E48" w:rsidRDefault="00487D97" w:rsidP="004169A4">
            <w:pPr>
              <w:rPr>
                <w:rStyle w:val="Hyperlink"/>
                <w:rFonts w:ascii="Times New Roman" w:hAnsi="Times New Roman" w:cs="Times New Roman"/>
                <w:color w:val="171717" w:themeColor="background2" w:themeShade="1A"/>
                <w:sz w:val="24"/>
                <w:szCs w:val="24"/>
                <w:u w:val="none"/>
              </w:rPr>
            </w:pPr>
            <w:r w:rsidRPr="00AE5E48">
              <w:rPr>
                <w:rStyle w:val="Hyperlink"/>
                <w:rFonts w:ascii="Times New Roman" w:hAnsi="Times New Roman" w:cs="Times New Roman"/>
                <w:color w:val="171717" w:themeColor="background2" w:themeShade="1A"/>
                <w:sz w:val="24"/>
                <w:szCs w:val="24"/>
                <w:u w:val="none"/>
              </w:rPr>
              <w:t>Small sample size</w:t>
            </w:r>
          </w:p>
        </w:tc>
      </w:tr>
      <w:tr w:rsidR="00AE5E48" w:rsidRPr="00AE5E48" w:rsidTr="0012064B">
        <w:tc>
          <w:tcPr>
            <w:tcW w:w="6115" w:type="dxa"/>
          </w:tcPr>
          <w:p w:rsidR="004169A4" w:rsidRPr="00AE5E48" w:rsidRDefault="008C7E51" w:rsidP="004169A4">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 xml:space="preserve">CT scan rate for low-risk patients </w:t>
            </w:r>
          </w:p>
          <w:p w:rsidR="008C7E51" w:rsidRPr="00AE5E48" w:rsidRDefault="008C7E51" w:rsidP="008C7E51">
            <w:pPr>
              <w:pStyle w:val="ListParagraph"/>
              <w:numPr>
                <w:ilvl w:val="0"/>
                <w:numId w:val="5"/>
              </w:num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Abdominal pain</w:t>
            </w:r>
          </w:p>
          <w:p w:rsidR="008C7E51" w:rsidRPr="00AE5E48" w:rsidRDefault="008C7E51" w:rsidP="008C7E51">
            <w:pPr>
              <w:pStyle w:val="ListParagraph"/>
              <w:numPr>
                <w:ilvl w:val="0"/>
                <w:numId w:val="5"/>
              </w:num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Head trauma</w:t>
            </w:r>
          </w:p>
        </w:tc>
        <w:tc>
          <w:tcPr>
            <w:tcW w:w="3235" w:type="dxa"/>
          </w:tcPr>
          <w:p w:rsidR="004169A4" w:rsidRPr="00AE5E48" w:rsidRDefault="00487D97" w:rsidP="004169A4">
            <w:pPr>
              <w:rPr>
                <w:rStyle w:val="Hyperlink"/>
                <w:rFonts w:ascii="Times New Roman" w:hAnsi="Times New Roman" w:cs="Times New Roman"/>
                <w:color w:val="171717" w:themeColor="background2" w:themeShade="1A"/>
                <w:sz w:val="24"/>
                <w:szCs w:val="24"/>
                <w:u w:val="none"/>
              </w:rPr>
            </w:pPr>
            <w:r w:rsidRPr="00AE5E48">
              <w:rPr>
                <w:rStyle w:val="Hyperlink"/>
                <w:rFonts w:ascii="Times New Roman" w:hAnsi="Times New Roman" w:cs="Times New Roman"/>
                <w:color w:val="171717" w:themeColor="background2" w:themeShade="1A"/>
                <w:sz w:val="24"/>
                <w:szCs w:val="24"/>
                <w:u w:val="none"/>
              </w:rPr>
              <w:t>Continuing to explore this measure</w:t>
            </w:r>
          </w:p>
        </w:tc>
      </w:tr>
      <w:tr w:rsidR="00AE5E48" w:rsidRPr="00AE5E48" w:rsidTr="0012064B">
        <w:tc>
          <w:tcPr>
            <w:tcW w:w="6115" w:type="dxa"/>
          </w:tcPr>
          <w:p w:rsidR="004169A4" w:rsidRPr="00AE5E48" w:rsidRDefault="008C7E51" w:rsidP="008C7E51">
            <w:pPr>
              <w:pStyle w:val="NoSpacing"/>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Time to steroids for asthma – for pts &gt; 2yrs old</w:t>
            </w:r>
            <w:r w:rsidRPr="00AE5E48">
              <w:rPr>
                <w:rFonts w:ascii="Times New Roman" w:hAnsi="Times New Roman" w:cs="Times New Roman"/>
                <w:color w:val="171717" w:themeColor="background2" w:themeShade="1A"/>
                <w:sz w:val="24"/>
                <w:szCs w:val="24"/>
              </w:rPr>
              <w:t xml:space="preserve"> OR </w:t>
            </w:r>
            <w:r w:rsidRPr="00AE5E48">
              <w:rPr>
                <w:rFonts w:ascii="Times New Roman" w:hAnsi="Times New Roman" w:cs="Times New Roman"/>
                <w:color w:val="171717" w:themeColor="background2" w:themeShade="1A"/>
                <w:sz w:val="24"/>
                <w:szCs w:val="24"/>
              </w:rPr>
              <w:t>Steroids prescribed at discharge</w:t>
            </w:r>
          </w:p>
        </w:tc>
        <w:tc>
          <w:tcPr>
            <w:tcW w:w="3235" w:type="dxa"/>
          </w:tcPr>
          <w:p w:rsidR="004169A4" w:rsidRPr="00AE5E48" w:rsidRDefault="00487D97" w:rsidP="004169A4">
            <w:pPr>
              <w:rPr>
                <w:rStyle w:val="Hyperlink"/>
                <w:rFonts w:ascii="Times New Roman" w:hAnsi="Times New Roman" w:cs="Times New Roman"/>
                <w:color w:val="171717" w:themeColor="background2" w:themeShade="1A"/>
                <w:sz w:val="24"/>
                <w:szCs w:val="24"/>
                <w:u w:val="none"/>
              </w:rPr>
            </w:pPr>
            <w:r w:rsidRPr="00AE5E48">
              <w:rPr>
                <w:rStyle w:val="Hyperlink"/>
                <w:rFonts w:ascii="Times New Roman" w:hAnsi="Times New Roman" w:cs="Times New Roman"/>
                <w:color w:val="171717" w:themeColor="background2" w:themeShade="1A"/>
                <w:sz w:val="24"/>
                <w:szCs w:val="24"/>
                <w:u w:val="none"/>
              </w:rPr>
              <w:t>Already have measure for asthma focus</w:t>
            </w:r>
          </w:p>
        </w:tc>
      </w:tr>
      <w:tr w:rsidR="008C7E51" w:rsidRPr="00AE5E48" w:rsidTr="0012064B">
        <w:tc>
          <w:tcPr>
            <w:tcW w:w="6115" w:type="dxa"/>
          </w:tcPr>
          <w:p w:rsidR="008C7E51" w:rsidRPr="00AE5E48" w:rsidRDefault="008C7E51" w:rsidP="008C7E51">
            <w:pPr>
              <w:pStyle w:val="NoSpacing"/>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Time to prep substance for lacerations</w:t>
            </w:r>
            <w:r w:rsidRPr="00AE5E48">
              <w:rPr>
                <w:rFonts w:ascii="Times New Roman" w:hAnsi="Times New Roman" w:cs="Times New Roman"/>
                <w:color w:val="171717" w:themeColor="background2" w:themeShade="1A"/>
                <w:sz w:val="24"/>
                <w:szCs w:val="24"/>
              </w:rPr>
              <w:t xml:space="preserve"> in ED</w:t>
            </w:r>
          </w:p>
        </w:tc>
        <w:tc>
          <w:tcPr>
            <w:tcW w:w="3235" w:type="dxa"/>
          </w:tcPr>
          <w:p w:rsidR="008C7E51" w:rsidRPr="00AE5E48" w:rsidRDefault="00487D97" w:rsidP="004169A4">
            <w:pPr>
              <w:rPr>
                <w:rStyle w:val="Hyperlink"/>
                <w:rFonts w:ascii="Times New Roman" w:hAnsi="Times New Roman" w:cs="Times New Roman"/>
                <w:color w:val="171717" w:themeColor="background2" w:themeShade="1A"/>
                <w:sz w:val="24"/>
                <w:szCs w:val="24"/>
              </w:rPr>
            </w:pPr>
            <w:r w:rsidRPr="00AE5E48">
              <w:rPr>
                <w:rStyle w:val="Hyperlink"/>
                <w:rFonts w:ascii="Times New Roman" w:hAnsi="Times New Roman" w:cs="Times New Roman"/>
                <w:color w:val="171717" w:themeColor="background2" w:themeShade="1A"/>
                <w:sz w:val="24"/>
                <w:szCs w:val="24"/>
                <w:u w:val="none"/>
              </w:rPr>
              <w:t>Small sample size</w:t>
            </w:r>
          </w:p>
        </w:tc>
      </w:tr>
      <w:tr w:rsidR="008C7E51" w:rsidRPr="00AE5E48" w:rsidTr="0012064B">
        <w:tc>
          <w:tcPr>
            <w:tcW w:w="6115" w:type="dxa"/>
          </w:tcPr>
          <w:p w:rsidR="008C7E51" w:rsidRPr="00AE5E48" w:rsidRDefault="008C7E51" w:rsidP="008C7E51">
            <w:pPr>
              <w:pStyle w:val="NoSpacing"/>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US first for potential appendicitis</w:t>
            </w:r>
          </w:p>
        </w:tc>
        <w:tc>
          <w:tcPr>
            <w:tcW w:w="3235" w:type="dxa"/>
          </w:tcPr>
          <w:p w:rsidR="008C7E51" w:rsidRPr="00AE5E48" w:rsidRDefault="00487D97" w:rsidP="004169A4">
            <w:pPr>
              <w:rPr>
                <w:rStyle w:val="Hyperlink"/>
                <w:rFonts w:ascii="Times New Roman" w:hAnsi="Times New Roman" w:cs="Times New Roman"/>
                <w:color w:val="171717" w:themeColor="background2" w:themeShade="1A"/>
                <w:sz w:val="24"/>
                <w:szCs w:val="24"/>
              </w:rPr>
            </w:pPr>
            <w:r w:rsidRPr="00AE5E48">
              <w:rPr>
                <w:rStyle w:val="Hyperlink"/>
                <w:rFonts w:ascii="Times New Roman" w:hAnsi="Times New Roman" w:cs="Times New Roman"/>
                <w:color w:val="171717" w:themeColor="background2" w:themeShade="1A"/>
                <w:sz w:val="24"/>
                <w:szCs w:val="24"/>
                <w:u w:val="none"/>
              </w:rPr>
              <w:t>Continuing to explore this measure</w:t>
            </w:r>
          </w:p>
        </w:tc>
      </w:tr>
      <w:tr w:rsidR="00AE5E48" w:rsidRPr="00AE5E48" w:rsidTr="0012064B">
        <w:tc>
          <w:tcPr>
            <w:tcW w:w="6115" w:type="dxa"/>
          </w:tcPr>
          <w:p w:rsidR="008C7E51" w:rsidRPr="00AE5E48" w:rsidRDefault="008C7E51" w:rsidP="008C7E51">
            <w:pPr>
              <w:pStyle w:val="NoSpacing"/>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IM fentanyl for long bone fractures</w:t>
            </w:r>
          </w:p>
        </w:tc>
        <w:tc>
          <w:tcPr>
            <w:tcW w:w="3235" w:type="dxa"/>
          </w:tcPr>
          <w:p w:rsidR="008C7E51" w:rsidRPr="00AE5E48" w:rsidRDefault="00487D97" w:rsidP="004169A4">
            <w:pPr>
              <w:rPr>
                <w:rStyle w:val="Hyperlink"/>
                <w:rFonts w:ascii="Times New Roman" w:hAnsi="Times New Roman" w:cs="Times New Roman"/>
                <w:color w:val="171717" w:themeColor="background2" w:themeShade="1A"/>
                <w:sz w:val="24"/>
                <w:szCs w:val="24"/>
                <w:u w:val="none"/>
              </w:rPr>
            </w:pPr>
            <w:r w:rsidRPr="00AE5E48">
              <w:rPr>
                <w:rStyle w:val="Hyperlink"/>
                <w:rFonts w:ascii="Times New Roman" w:hAnsi="Times New Roman" w:cs="Times New Roman"/>
                <w:color w:val="171717" w:themeColor="background2" w:themeShade="1A"/>
                <w:sz w:val="24"/>
                <w:szCs w:val="24"/>
                <w:u w:val="none"/>
              </w:rPr>
              <w:t>Small sample size</w:t>
            </w:r>
          </w:p>
        </w:tc>
      </w:tr>
      <w:tr w:rsidR="008C7E51" w:rsidRPr="00AE5E48" w:rsidTr="0012064B">
        <w:tc>
          <w:tcPr>
            <w:tcW w:w="6115" w:type="dxa"/>
          </w:tcPr>
          <w:p w:rsidR="008C7E51" w:rsidRPr="00AE5E48" w:rsidRDefault="008C7E51" w:rsidP="008C7E51">
            <w:pPr>
              <w:pStyle w:val="NoSpacing"/>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Completeness of triage assessment</w:t>
            </w:r>
          </w:p>
        </w:tc>
        <w:tc>
          <w:tcPr>
            <w:tcW w:w="3235" w:type="dxa"/>
          </w:tcPr>
          <w:p w:rsidR="008C7E51" w:rsidRPr="00AE5E48" w:rsidRDefault="00487D97" w:rsidP="004169A4">
            <w:pPr>
              <w:rPr>
                <w:rStyle w:val="Hyperlink"/>
                <w:rFonts w:ascii="Times New Roman" w:hAnsi="Times New Roman" w:cs="Times New Roman"/>
                <w:color w:val="171717" w:themeColor="background2" w:themeShade="1A"/>
                <w:sz w:val="24"/>
                <w:szCs w:val="24"/>
              </w:rPr>
            </w:pPr>
            <w:r w:rsidRPr="00AE5E48">
              <w:rPr>
                <w:rStyle w:val="Hyperlink"/>
                <w:rFonts w:ascii="Times New Roman" w:hAnsi="Times New Roman" w:cs="Times New Roman"/>
                <w:color w:val="171717" w:themeColor="background2" w:themeShade="1A"/>
                <w:sz w:val="24"/>
                <w:szCs w:val="24"/>
                <w:u w:val="none"/>
              </w:rPr>
              <w:t>Completion ≠ accurate</w:t>
            </w:r>
          </w:p>
        </w:tc>
      </w:tr>
      <w:tr w:rsidR="008C7E51" w:rsidRPr="00AE5E48" w:rsidTr="0012064B">
        <w:tc>
          <w:tcPr>
            <w:tcW w:w="6115" w:type="dxa"/>
          </w:tcPr>
          <w:p w:rsidR="008C7E51" w:rsidRPr="00AE5E48" w:rsidRDefault="008C7E51" w:rsidP="008C7E51">
            <w:pPr>
              <w:pStyle w:val="NoSpacing"/>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ED revisits within 72 hours</w:t>
            </w:r>
          </w:p>
        </w:tc>
        <w:tc>
          <w:tcPr>
            <w:tcW w:w="3235" w:type="dxa"/>
          </w:tcPr>
          <w:p w:rsidR="008C7E51" w:rsidRPr="00AE5E48" w:rsidRDefault="00487D97" w:rsidP="004169A4">
            <w:pPr>
              <w:rPr>
                <w:rStyle w:val="Hyperlink"/>
                <w:rFonts w:ascii="Times New Roman" w:hAnsi="Times New Roman" w:cs="Times New Roman"/>
                <w:color w:val="171717" w:themeColor="background2" w:themeShade="1A"/>
                <w:sz w:val="24"/>
                <w:szCs w:val="24"/>
              </w:rPr>
            </w:pPr>
            <w:r w:rsidRPr="00AE5E48">
              <w:rPr>
                <w:rStyle w:val="Hyperlink"/>
                <w:rFonts w:ascii="Times New Roman" w:hAnsi="Times New Roman" w:cs="Times New Roman"/>
                <w:color w:val="171717" w:themeColor="background2" w:themeShade="1A"/>
                <w:sz w:val="24"/>
                <w:szCs w:val="24"/>
                <w:u w:val="none"/>
              </w:rPr>
              <w:t>Continuing to explore this measure</w:t>
            </w:r>
            <w:r w:rsidRPr="00AE5E48">
              <w:rPr>
                <w:rStyle w:val="Hyperlink"/>
                <w:rFonts w:ascii="Times New Roman" w:hAnsi="Times New Roman" w:cs="Times New Roman"/>
                <w:color w:val="171717" w:themeColor="background2" w:themeShade="1A"/>
                <w:sz w:val="24"/>
                <w:szCs w:val="24"/>
                <w:u w:val="none"/>
              </w:rPr>
              <w:t xml:space="preserve">. May show differences in healthcare access as opposed to quality of initial visit. </w:t>
            </w:r>
          </w:p>
        </w:tc>
      </w:tr>
      <w:tr w:rsidR="00AE5E48" w:rsidRPr="00AE5E48" w:rsidTr="0012064B">
        <w:tc>
          <w:tcPr>
            <w:tcW w:w="6115" w:type="dxa"/>
          </w:tcPr>
          <w:p w:rsidR="008C7E51" w:rsidRPr="00AE5E48" w:rsidRDefault="008C7E51" w:rsidP="008C7E51">
            <w:pPr>
              <w:pStyle w:val="NoSpacing"/>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Use of chemical or physical restraints for behavioral health patients</w:t>
            </w:r>
          </w:p>
        </w:tc>
        <w:tc>
          <w:tcPr>
            <w:tcW w:w="3235" w:type="dxa"/>
          </w:tcPr>
          <w:p w:rsidR="008C7E51" w:rsidRPr="00AE5E48" w:rsidRDefault="00487D97" w:rsidP="004169A4">
            <w:pPr>
              <w:rPr>
                <w:rStyle w:val="Hyperlink"/>
                <w:rFonts w:ascii="Times New Roman" w:hAnsi="Times New Roman" w:cs="Times New Roman"/>
                <w:color w:val="171717" w:themeColor="background2" w:themeShade="1A"/>
                <w:sz w:val="24"/>
                <w:szCs w:val="24"/>
                <w:u w:val="none"/>
              </w:rPr>
            </w:pPr>
            <w:r w:rsidRPr="00AE5E48">
              <w:rPr>
                <w:rStyle w:val="Hyperlink"/>
                <w:rFonts w:ascii="Times New Roman" w:hAnsi="Times New Roman" w:cs="Times New Roman"/>
                <w:color w:val="171717" w:themeColor="background2" w:themeShade="1A"/>
                <w:sz w:val="24"/>
                <w:szCs w:val="24"/>
                <w:u w:val="none"/>
              </w:rPr>
              <w:t>Small sample size</w:t>
            </w:r>
          </w:p>
        </w:tc>
      </w:tr>
      <w:tr w:rsidR="008C7E51" w:rsidRPr="00AE5E48" w:rsidTr="0012064B">
        <w:tc>
          <w:tcPr>
            <w:tcW w:w="6115" w:type="dxa"/>
          </w:tcPr>
          <w:p w:rsidR="008C7E51" w:rsidRPr="00AE5E48" w:rsidRDefault="008C7E51" w:rsidP="008C7E51">
            <w:pPr>
              <w:pStyle w:val="NoSpacing"/>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Glucose re-checks within set time after start of insulin drip / insulin administered</w:t>
            </w:r>
          </w:p>
          <w:p w:rsidR="008C7E51" w:rsidRPr="00AE5E48" w:rsidRDefault="008C7E51" w:rsidP="008C7E51">
            <w:pPr>
              <w:pStyle w:val="NoSpacing"/>
              <w:rPr>
                <w:rFonts w:ascii="Times New Roman" w:hAnsi="Times New Roman" w:cs="Times New Roman"/>
                <w:color w:val="171717" w:themeColor="background2" w:themeShade="1A"/>
                <w:sz w:val="24"/>
                <w:szCs w:val="24"/>
              </w:rPr>
            </w:pPr>
          </w:p>
        </w:tc>
        <w:tc>
          <w:tcPr>
            <w:tcW w:w="3235" w:type="dxa"/>
          </w:tcPr>
          <w:p w:rsidR="008C7E51" w:rsidRPr="00AE5E48" w:rsidRDefault="00487D97" w:rsidP="004169A4">
            <w:pPr>
              <w:rPr>
                <w:rStyle w:val="Hyperlink"/>
                <w:rFonts w:ascii="Times New Roman" w:hAnsi="Times New Roman" w:cs="Times New Roman"/>
                <w:color w:val="171717" w:themeColor="background2" w:themeShade="1A"/>
                <w:sz w:val="24"/>
                <w:szCs w:val="24"/>
              </w:rPr>
            </w:pPr>
            <w:r w:rsidRPr="00AE5E48">
              <w:rPr>
                <w:rStyle w:val="Hyperlink"/>
                <w:rFonts w:ascii="Times New Roman" w:hAnsi="Times New Roman" w:cs="Times New Roman"/>
                <w:color w:val="171717" w:themeColor="background2" w:themeShade="1A"/>
                <w:sz w:val="24"/>
                <w:szCs w:val="24"/>
                <w:u w:val="none"/>
              </w:rPr>
              <w:t>Small sample size</w:t>
            </w:r>
          </w:p>
        </w:tc>
      </w:tr>
      <w:tr w:rsidR="008C7E51" w:rsidRPr="00AE5E48" w:rsidTr="0012064B">
        <w:tc>
          <w:tcPr>
            <w:tcW w:w="6115" w:type="dxa"/>
          </w:tcPr>
          <w:p w:rsidR="008C7E51" w:rsidRPr="00AE5E48" w:rsidRDefault="008C7E51" w:rsidP="008C7E51">
            <w:pPr>
              <w:pStyle w:val="NoSpacing"/>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Viral testing for patients with bronchiolitis</w:t>
            </w:r>
          </w:p>
        </w:tc>
        <w:tc>
          <w:tcPr>
            <w:tcW w:w="3235" w:type="dxa"/>
          </w:tcPr>
          <w:p w:rsidR="008C7E51" w:rsidRPr="00AE5E48" w:rsidRDefault="00487D97" w:rsidP="004169A4">
            <w:pPr>
              <w:rPr>
                <w:rStyle w:val="Hyperlink"/>
                <w:rFonts w:ascii="Times New Roman" w:hAnsi="Times New Roman" w:cs="Times New Roman"/>
                <w:color w:val="171717" w:themeColor="background2" w:themeShade="1A"/>
                <w:sz w:val="24"/>
                <w:szCs w:val="24"/>
              </w:rPr>
            </w:pPr>
            <w:r w:rsidRPr="00AE5E48">
              <w:rPr>
                <w:rStyle w:val="Hyperlink"/>
                <w:rFonts w:ascii="Times New Roman" w:hAnsi="Times New Roman" w:cs="Times New Roman"/>
                <w:color w:val="171717" w:themeColor="background2" w:themeShade="1A"/>
                <w:sz w:val="24"/>
                <w:szCs w:val="24"/>
                <w:u w:val="none"/>
              </w:rPr>
              <w:t>Continuing to explore this measure</w:t>
            </w:r>
            <w:r w:rsidRPr="00AE5E48">
              <w:rPr>
                <w:rStyle w:val="Hyperlink"/>
                <w:rFonts w:ascii="Times New Roman" w:hAnsi="Times New Roman" w:cs="Times New Roman"/>
                <w:color w:val="171717" w:themeColor="background2" w:themeShade="1A"/>
                <w:sz w:val="24"/>
                <w:szCs w:val="24"/>
                <w:u w:val="none"/>
              </w:rPr>
              <w:t xml:space="preserve">, impacted by COVID-19 testing. </w:t>
            </w:r>
          </w:p>
        </w:tc>
      </w:tr>
      <w:tr w:rsidR="00AE5E48" w:rsidRPr="00AE5E48" w:rsidTr="0012064B">
        <w:tc>
          <w:tcPr>
            <w:tcW w:w="6115" w:type="dxa"/>
          </w:tcPr>
          <w:p w:rsidR="008C7E51" w:rsidRPr="00AE5E48" w:rsidRDefault="008C7E51" w:rsidP="008C7E51">
            <w:pPr>
              <w:pStyle w:val="NoSpacing"/>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Triage antipyretics for febrile seizures</w:t>
            </w:r>
          </w:p>
        </w:tc>
        <w:tc>
          <w:tcPr>
            <w:tcW w:w="3235" w:type="dxa"/>
          </w:tcPr>
          <w:p w:rsidR="008C7E51" w:rsidRPr="00AE5E48" w:rsidRDefault="00487D97" w:rsidP="004169A4">
            <w:pPr>
              <w:rPr>
                <w:rStyle w:val="Hyperlink"/>
                <w:rFonts w:ascii="Times New Roman" w:hAnsi="Times New Roman" w:cs="Times New Roman"/>
                <w:color w:val="171717" w:themeColor="background2" w:themeShade="1A"/>
                <w:sz w:val="24"/>
                <w:szCs w:val="24"/>
                <w:u w:val="none"/>
              </w:rPr>
            </w:pPr>
            <w:r w:rsidRPr="00AE5E48">
              <w:rPr>
                <w:rStyle w:val="Hyperlink"/>
                <w:rFonts w:ascii="Times New Roman" w:hAnsi="Times New Roman" w:cs="Times New Roman"/>
                <w:color w:val="171717" w:themeColor="background2" w:themeShade="1A"/>
                <w:sz w:val="24"/>
                <w:szCs w:val="24"/>
                <w:u w:val="none"/>
              </w:rPr>
              <w:t>Small sample size</w:t>
            </w:r>
          </w:p>
        </w:tc>
      </w:tr>
      <w:tr w:rsidR="008C7E51" w:rsidRPr="00AE5E48" w:rsidTr="0012064B">
        <w:tc>
          <w:tcPr>
            <w:tcW w:w="6115" w:type="dxa"/>
          </w:tcPr>
          <w:p w:rsidR="008C7E51" w:rsidRPr="00AE5E48" w:rsidRDefault="008C7E51" w:rsidP="008C7E51">
            <w:pPr>
              <w:pStyle w:val="NoSpacing"/>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Discharge prescription for Epi pen after allergic reaction/anaphylaxis encounter</w:t>
            </w:r>
          </w:p>
        </w:tc>
        <w:tc>
          <w:tcPr>
            <w:tcW w:w="3235" w:type="dxa"/>
          </w:tcPr>
          <w:p w:rsidR="008C7E51" w:rsidRPr="00AE5E48" w:rsidRDefault="00487D97" w:rsidP="004169A4">
            <w:pPr>
              <w:rPr>
                <w:rStyle w:val="Hyperlink"/>
                <w:rFonts w:ascii="Times New Roman" w:hAnsi="Times New Roman" w:cs="Times New Roman"/>
                <w:color w:val="171717" w:themeColor="background2" w:themeShade="1A"/>
                <w:sz w:val="24"/>
                <w:szCs w:val="24"/>
              </w:rPr>
            </w:pPr>
            <w:r w:rsidRPr="00AE5E48">
              <w:rPr>
                <w:rStyle w:val="Hyperlink"/>
                <w:rFonts w:ascii="Times New Roman" w:hAnsi="Times New Roman" w:cs="Times New Roman"/>
                <w:color w:val="171717" w:themeColor="background2" w:themeShade="1A"/>
                <w:sz w:val="24"/>
                <w:szCs w:val="24"/>
                <w:u w:val="none"/>
              </w:rPr>
              <w:t>Small sample size</w:t>
            </w:r>
          </w:p>
        </w:tc>
      </w:tr>
      <w:tr w:rsidR="00AE5E48" w:rsidRPr="00AE5E48" w:rsidTr="0012064B">
        <w:tc>
          <w:tcPr>
            <w:tcW w:w="6115" w:type="dxa"/>
          </w:tcPr>
          <w:p w:rsidR="008C7E51" w:rsidRPr="00AE5E48" w:rsidRDefault="008C7E51" w:rsidP="008C7E51">
            <w:pPr>
              <w:pStyle w:val="NoSpacing"/>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Referral pattern for behavioral health encounters</w:t>
            </w:r>
          </w:p>
        </w:tc>
        <w:tc>
          <w:tcPr>
            <w:tcW w:w="3235" w:type="dxa"/>
          </w:tcPr>
          <w:p w:rsidR="008C7E51" w:rsidRPr="00AE5E48" w:rsidRDefault="00487D97" w:rsidP="004169A4">
            <w:pPr>
              <w:rPr>
                <w:rStyle w:val="Hyperlink"/>
                <w:rFonts w:ascii="Times New Roman" w:hAnsi="Times New Roman" w:cs="Times New Roman"/>
                <w:color w:val="171717" w:themeColor="background2" w:themeShade="1A"/>
                <w:sz w:val="24"/>
                <w:szCs w:val="24"/>
                <w:u w:val="none"/>
              </w:rPr>
            </w:pPr>
            <w:r w:rsidRPr="00AE5E48">
              <w:rPr>
                <w:rStyle w:val="Hyperlink"/>
                <w:rFonts w:ascii="Times New Roman" w:hAnsi="Times New Roman" w:cs="Times New Roman"/>
                <w:color w:val="171717" w:themeColor="background2" w:themeShade="1A"/>
                <w:sz w:val="24"/>
                <w:szCs w:val="24"/>
                <w:u w:val="none"/>
              </w:rPr>
              <w:t>Referral</w:t>
            </w:r>
          </w:p>
        </w:tc>
      </w:tr>
      <w:tr w:rsidR="008C7E51" w:rsidRPr="00AE5E48" w:rsidTr="0012064B">
        <w:tc>
          <w:tcPr>
            <w:tcW w:w="6115" w:type="dxa"/>
          </w:tcPr>
          <w:p w:rsidR="008C7E51" w:rsidRPr="00AE5E48" w:rsidRDefault="008C7E51" w:rsidP="008C7E51">
            <w:pPr>
              <w:pStyle w:val="NoSpacing"/>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Referral pattern for Child Protective Services</w:t>
            </w:r>
          </w:p>
        </w:tc>
        <w:tc>
          <w:tcPr>
            <w:tcW w:w="3235" w:type="dxa"/>
          </w:tcPr>
          <w:p w:rsidR="008C7E51" w:rsidRPr="00AE5E48" w:rsidRDefault="00487D97" w:rsidP="004169A4">
            <w:pPr>
              <w:rPr>
                <w:rStyle w:val="Hyperlink"/>
                <w:rFonts w:ascii="Times New Roman" w:hAnsi="Times New Roman" w:cs="Times New Roman"/>
                <w:color w:val="171717" w:themeColor="background2" w:themeShade="1A"/>
                <w:sz w:val="24"/>
                <w:szCs w:val="24"/>
              </w:rPr>
            </w:pPr>
            <w:r w:rsidRPr="00AE5E48">
              <w:rPr>
                <w:rStyle w:val="Hyperlink"/>
                <w:rFonts w:ascii="Times New Roman" w:hAnsi="Times New Roman" w:cs="Times New Roman"/>
                <w:color w:val="171717" w:themeColor="background2" w:themeShade="1A"/>
                <w:sz w:val="24"/>
                <w:szCs w:val="24"/>
                <w:u w:val="none"/>
              </w:rPr>
              <w:t>Continuing to explore this measure</w:t>
            </w:r>
          </w:p>
        </w:tc>
      </w:tr>
      <w:tr w:rsidR="008C7E51" w:rsidRPr="00AE5E48" w:rsidTr="0012064B">
        <w:tc>
          <w:tcPr>
            <w:tcW w:w="6115" w:type="dxa"/>
          </w:tcPr>
          <w:p w:rsidR="008C7E51" w:rsidRPr="00AE5E48" w:rsidRDefault="008C7E51" w:rsidP="008C7E51">
            <w:pPr>
              <w:pStyle w:val="NoSpacing"/>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t xml:space="preserve">Hospital Deny Entry (Caregiver) </w:t>
            </w:r>
          </w:p>
        </w:tc>
        <w:tc>
          <w:tcPr>
            <w:tcW w:w="3235" w:type="dxa"/>
          </w:tcPr>
          <w:p w:rsidR="008C7E51" w:rsidRPr="00AE5E48" w:rsidRDefault="00487D97" w:rsidP="004169A4">
            <w:pPr>
              <w:rPr>
                <w:rStyle w:val="Hyperlink"/>
                <w:rFonts w:ascii="Times New Roman" w:hAnsi="Times New Roman" w:cs="Times New Roman"/>
                <w:color w:val="171717" w:themeColor="background2" w:themeShade="1A"/>
                <w:sz w:val="24"/>
                <w:szCs w:val="24"/>
              </w:rPr>
            </w:pPr>
            <w:r w:rsidRPr="00AE5E48">
              <w:rPr>
                <w:rStyle w:val="Hyperlink"/>
                <w:rFonts w:ascii="Times New Roman" w:hAnsi="Times New Roman" w:cs="Times New Roman"/>
                <w:color w:val="171717" w:themeColor="background2" w:themeShade="1A"/>
                <w:sz w:val="24"/>
                <w:szCs w:val="24"/>
                <w:u w:val="none"/>
              </w:rPr>
              <w:t>Continuing to explore this measure</w:t>
            </w:r>
            <w:r w:rsidRPr="00AE5E48">
              <w:rPr>
                <w:rStyle w:val="Hyperlink"/>
                <w:rFonts w:ascii="Times New Roman" w:hAnsi="Times New Roman" w:cs="Times New Roman"/>
                <w:color w:val="171717" w:themeColor="background2" w:themeShade="1A"/>
                <w:sz w:val="24"/>
                <w:szCs w:val="24"/>
                <w:u w:val="none"/>
              </w:rPr>
              <w:t xml:space="preserve">, small sample size. </w:t>
            </w:r>
          </w:p>
        </w:tc>
      </w:tr>
      <w:tr w:rsidR="00B5348A" w:rsidRPr="00AE5E48" w:rsidTr="0012064B">
        <w:tc>
          <w:tcPr>
            <w:tcW w:w="6115" w:type="dxa"/>
          </w:tcPr>
          <w:p w:rsidR="00B5348A" w:rsidRPr="00AE5E48" w:rsidRDefault="00B5348A" w:rsidP="00B5348A">
            <w:pPr>
              <w:pStyle w:val="NoSpacing"/>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lastRenderedPageBreak/>
              <w:t>“Respect and Dignity” Safety Learning Report</w:t>
            </w:r>
          </w:p>
        </w:tc>
        <w:tc>
          <w:tcPr>
            <w:tcW w:w="3235" w:type="dxa"/>
          </w:tcPr>
          <w:p w:rsidR="00B5348A" w:rsidRPr="00AE5E48" w:rsidRDefault="00487D97" w:rsidP="004169A4">
            <w:pPr>
              <w:rPr>
                <w:rStyle w:val="Hyperlink"/>
                <w:rFonts w:ascii="Times New Roman" w:hAnsi="Times New Roman" w:cs="Times New Roman"/>
                <w:color w:val="171717" w:themeColor="background2" w:themeShade="1A"/>
                <w:sz w:val="24"/>
                <w:szCs w:val="24"/>
              </w:rPr>
            </w:pPr>
            <w:r w:rsidRPr="00AE5E48">
              <w:rPr>
                <w:rStyle w:val="Hyperlink"/>
                <w:rFonts w:ascii="Times New Roman" w:hAnsi="Times New Roman" w:cs="Times New Roman"/>
                <w:color w:val="171717" w:themeColor="background2" w:themeShade="1A"/>
                <w:sz w:val="24"/>
                <w:szCs w:val="24"/>
                <w:u w:val="none"/>
              </w:rPr>
              <w:t>Continuing to explore this measure</w:t>
            </w:r>
          </w:p>
        </w:tc>
      </w:tr>
    </w:tbl>
    <w:p w:rsidR="004169A4" w:rsidRPr="00AE5E48" w:rsidRDefault="004169A4" w:rsidP="004169A4">
      <w:pPr>
        <w:rPr>
          <w:rFonts w:ascii="Times New Roman" w:hAnsi="Times New Roman" w:cs="Times New Roman"/>
          <w:color w:val="171717" w:themeColor="background2" w:themeShade="1A"/>
          <w:sz w:val="24"/>
          <w:szCs w:val="24"/>
        </w:rPr>
      </w:pPr>
    </w:p>
    <w:p w:rsidR="004169A4" w:rsidRPr="00AE5E48" w:rsidRDefault="004169A4" w:rsidP="004169A4">
      <w:pPr>
        <w:rPr>
          <w:rFonts w:ascii="Times New Roman" w:hAnsi="Times New Roman" w:cs="Times New Roman"/>
          <w:color w:val="171717" w:themeColor="background2" w:themeShade="1A"/>
          <w:sz w:val="24"/>
          <w:szCs w:val="24"/>
        </w:rPr>
      </w:pPr>
    </w:p>
    <w:p w:rsidR="004169A4" w:rsidRPr="00AE5E48" w:rsidRDefault="004169A4" w:rsidP="004169A4">
      <w:pPr>
        <w:rPr>
          <w:rFonts w:ascii="Times New Roman" w:hAnsi="Times New Roman" w:cs="Times New Roman"/>
          <w:i/>
          <w:color w:val="171717" w:themeColor="background2" w:themeShade="1A"/>
          <w:sz w:val="24"/>
          <w:szCs w:val="24"/>
        </w:rPr>
      </w:pPr>
    </w:p>
    <w:p w:rsidR="004169A4" w:rsidRPr="00AE5E48" w:rsidRDefault="004169A4" w:rsidP="004169A4">
      <w:pPr>
        <w:rPr>
          <w:rFonts w:ascii="Times New Roman" w:hAnsi="Times New Roman" w:cs="Times New Roman"/>
          <w:color w:val="171717" w:themeColor="background2" w:themeShade="1A"/>
          <w:sz w:val="24"/>
          <w:szCs w:val="24"/>
        </w:rPr>
      </w:pPr>
    </w:p>
    <w:p w:rsidR="004169A4" w:rsidRPr="00AE5E48" w:rsidRDefault="004169A4" w:rsidP="004169A4">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fldChar w:fldCharType="begin"/>
      </w:r>
      <w:r w:rsidRPr="00AE5E48">
        <w:rPr>
          <w:rFonts w:ascii="Times New Roman" w:hAnsi="Times New Roman" w:cs="Times New Roman"/>
          <w:color w:val="171717" w:themeColor="background2" w:themeShade="1A"/>
          <w:sz w:val="24"/>
          <w:szCs w:val="24"/>
        </w:rPr>
        <w:instrText xml:space="preserve"> LINK Excel.Sheet.12 "\\\\kidsnet.childrenshc.org\\chcdfs\\dept\\Quality and Patient Safety\\1_Administration\\Medical Director of Clinical Outcomes_Gabi\\Gabi\\Outcomes and Metrics\\Outcomes spreadsheet.xlsx" "USNWR Outcomes!R6:R7" \a \f 5 \h  \* MERGEFORMAT </w:instrText>
      </w:r>
      <w:r w:rsidRPr="00AE5E48">
        <w:rPr>
          <w:rFonts w:ascii="Times New Roman" w:hAnsi="Times New Roman" w:cs="Times New Roman"/>
          <w:color w:val="171717" w:themeColor="background2" w:themeShade="1A"/>
          <w:sz w:val="24"/>
          <w:szCs w:val="24"/>
        </w:rPr>
        <w:fldChar w:fldCharType="separate"/>
      </w:r>
    </w:p>
    <w:p w:rsidR="004169A4" w:rsidRPr="00AE5E48" w:rsidRDefault="004169A4" w:rsidP="004169A4">
      <w:pPr>
        <w:rPr>
          <w:rFonts w:ascii="Times New Roman" w:hAnsi="Times New Roman" w:cs="Times New Roman"/>
          <w:color w:val="171717" w:themeColor="background2" w:themeShade="1A"/>
          <w:sz w:val="24"/>
          <w:szCs w:val="24"/>
        </w:rPr>
      </w:pPr>
      <w:r w:rsidRPr="00AE5E48">
        <w:rPr>
          <w:rFonts w:ascii="Times New Roman" w:hAnsi="Times New Roman" w:cs="Times New Roman"/>
          <w:color w:val="171717" w:themeColor="background2" w:themeShade="1A"/>
          <w:sz w:val="24"/>
          <w:szCs w:val="24"/>
        </w:rPr>
        <w:fldChar w:fldCharType="end"/>
      </w:r>
    </w:p>
    <w:p w:rsidR="004169A4" w:rsidRPr="00AE5E48" w:rsidRDefault="004169A4">
      <w:pPr>
        <w:rPr>
          <w:rFonts w:ascii="Times New Roman" w:hAnsi="Times New Roman" w:cs="Times New Roman"/>
          <w:color w:val="171717" w:themeColor="background2" w:themeShade="1A"/>
          <w:sz w:val="24"/>
          <w:szCs w:val="24"/>
        </w:rPr>
      </w:pPr>
    </w:p>
    <w:sectPr w:rsidR="004169A4" w:rsidRPr="00AE5E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E48" w:rsidRDefault="00AE5E48" w:rsidP="00AE5E48">
      <w:pPr>
        <w:spacing w:after="0" w:line="240" w:lineRule="auto"/>
      </w:pPr>
      <w:r>
        <w:separator/>
      </w:r>
    </w:p>
  </w:endnote>
  <w:endnote w:type="continuationSeparator" w:id="0">
    <w:p w:rsidR="00AE5E48" w:rsidRDefault="00AE5E48" w:rsidP="00AE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E48" w:rsidRDefault="00AE5E48" w:rsidP="00AE5E48">
      <w:pPr>
        <w:spacing w:after="0" w:line="240" w:lineRule="auto"/>
      </w:pPr>
      <w:r>
        <w:separator/>
      </w:r>
    </w:p>
  </w:footnote>
  <w:footnote w:type="continuationSeparator" w:id="0">
    <w:p w:rsidR="00AE5E48" w:rsidRDefault="00AE5E48" w:rsidP="00AE5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4A5"/>
    <w:multiLevelType w:val="hybridMultilevel"/>
    <w:tmpl w:val="4A8E992E"/>
    <w:lvl w:ilvl="0" w:tplc="0CB4D258">
      <w:start w:val="1"/>
      <w:numFmt w:val="bullet"/>
      <w:lvlText w:val="•"/>
      <w:lvlJc w:val="left"/>
      <w:pPr>
        <w:tabs>
          <w:tab w:val="num" w:pos="720"/>
        </w:tabs>
        <w:ind w:left="720" w:hanging="360"/>
      </w:pPr>
      <w:rPr>
        <w:rFonts w:ascii="Arial" w:hAnsi="Arial" w:hint="default"/>
      </w:rPr>
    </w:lvl>
    <w:lvl w:ilvl="1" w:tplc="27B8237E" w:tentative="1">
      <w:start w:val="1"/>
      <w:numFmt w:val="bullet"/>
      <w:lvlText w:val="•"/>
      <w:lvlJc w:val="left"/>
      <w:pPr>
        <w:tabs>
          <w:tab w:val="num" w:pos="1440"/>
        </w:tabs>
        <w:ind w:left="1440" w:hanging="360"/>
      </w:pPr>
      <w:rPr>
        <w:rFonts w:ascii="Arial" w:hAnsi="Arial" w:hint="default"/>
      </w:rPr>
    </w:lvl>
    <w:lvl w:ilvl="2" w:tplc="E5E2A052" w:tentative="1">
      <w:start w:val="1"/>
      <w:numFmt w:val="bullet"/>
      <w:lvlText w:val="•"/>
      <w:lvlJc w:val="left"/>
      <w:pPr>
        <w:tabs>
          <w:tab w:val="num" w:pos="2160"/>
        </w:tabs>
        <w:ind w:left="2160" w:hanging="360"/>
      </w:pPr>
      <w:rPr>
        <w:rFonts w:ascii="Arial" w:hAnsi="Arial" w:hint="default"/>
      </w:rPr>
    </w:lvl>
    <w:lvl w:ilvl="3" w:tplc="D05C01C8" w:tentative="1">
      <w:start w:val="1"/>
      <w:numFmt w:val="bullet"/>
      <w:lvlText w:val="•"/>
      <w:lvlJc w:val="left"/>
      <w:pPr>
        <w:tabs>
          <w:tab w:val="num" w:pos="2880"/>
        </w:tabs>
        <w:ind w:left="2880" w:hanging="360"/>
      </w:pPr>
      <w:rPr>
        <w:rFonts w:ascii="Arial" w:hAnsi="Arial" w:hint="default"/>
      </w:rPr>
    </w:lvl>
    <w:lvl w:ilvl="4" w:tplc="C2CEE0DE" w:tentative="1">
      <w:start w:val="1"/>
      <w:numFmt w:val="bullet"/>
      <w:lvlText w:val="•"/>
      <w:lvlJc w:val="left"/>
      <w:pPr>
        <w:tabs>
          <w:tab w:val="num" w:pos="3600"/>
        </w:tabs>
        <w:ind w:left="3600" w:hanging="360"/>
      </w:pPr>
      <w:rPr>
        <w:rFonts w:ascii="Arial" w:hAnsi="Arial" w:hint="default"/>
      </w:rPr>
    </w:lvl>
    <w:lvl w:ilvl="5" w:tplc="2050093E" w:tentative="1">
      <w:start w:val="1"/>
      <w:numFmt w:val="bullet"/>
      <w:lvlText w:val="•"/>
      <w:lvlJc w:val="left"/>
      <w:pPr>
        <w:tabs>
          <w:tab w:val="num" w:pos="4320"/>
        </w:tabs>
        <w:ind w:left="4320" w:hanging="360"/>
      </w:pPr>
      <w:rPr>
        <w:rFonts w:ascii="Arial" w:hAnsi="Arial" w:hint="default"/>
      </w:rPr>
    </w:lvl>
    <w:lvl w:ilvl="6" w:tplc="D988F88A" w:tentative="1">
      <w:start w:val="1"/>
      <w:numFmt w:val="bullet"/>
      <w:lvlText w:val="•"/>
      <w:lvlJc w:val="left"/>
      <w:pPr>
        <w:tabs>
          <w:tab w:val="num" w:pos="5040"/>
        </w:tabs>
        <w:ind w:left="5040" w:hanging="360"/>
      </w:pPr>
      <w:rPr>
        <w:rFonts w:ascii="Arial" w:hAnsi="Arial" w:hint="default"/>
      </w:rPr>
    </w:lvl>
    <w:lvl w:ilvl="7" w:tplc="5C42A998" w:tentative="1">
      <w:start w:val="1"/>
      <w:numFmt w:val="bullet"/>
      <w:lvlText w:val="•"/>
      <w:lvlJc w:val="left"/>
      <w:pPr>
        <w:tabs>
          <w:tab w:val="num" w:pos="5760"/>
        </w:tabs>
        <w:ind w:left="5760" w:hanging="360"/>
      </w:pPr>
      <w:rPr>
        <w:rFonts w:ascii="Arial" w:hAnsi="Arial" w:hint="default"/>
      </w:rPr>
    </w:lvl>
    <w:lvl w:ilvl="8" w:tplc="A3F6BE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C3491F"/>
    <w:multiLevelType w:val="hybridMultilevel"/>
    <w:tmpl w:val="F99E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E45E2"/>
    <w:multiLevelType w:val="hybridMultilevel"/>
    <w:tmpl w:val="6428D160"/>
    <w:lvl w:ilvl="0" w:tplc="CF1AD2E8">
      <w:start w:val="1"/>
      <w:numFmt w:val="decimal"/>
      <w:lvlText w:val="%1."/>
      <w:lvlJc w:val="left"/>
      <w:pPr>
        <w:tabs>
          <w:tab w:val="num" w:pos="720"/>
        </w:tabs>
        <w:ind w:left="720" w:hanging="360"/>
      </w:pPr>
    </w:lvl>
    <w:lvl w:ilvl="1" w:tplc="B32AFFE2" w:tentative="1">
      <w:start w:val="1"/>
      <w:numFmt w:val="decimal"/>
      <w:lvlText w:val="%2."/>
      <w:lvlJc w:val="left"/>
      <w:pPr>
        <w:tabs>
          <w:tab w:val="num" w:pos="1440"/>
        </w:tabs>
        <w:ind w:left="1440" w:hanging="360"/>
      </w:pPr>
    </w:lvl>
    <w:lvl w:ilvl="2" w:tplc="12269D38" w:tentative="1">
      <w:start w:val="1"/>
      <w:numFmt w:val="decimal"/>
      <w:lvlText w:val="%3."/>
      <w:lvlJc w:val="left"/>
      <w:pPr>
        <w:tabs>
          <w:tab w:val="num" w:pos="2160"/>
        </w:tabs>
        <w:ind w:left="2160" w:hanging="360"/>
      </w:pPr>
    </w:lvl>
    <w:lvl w:ilvl="3" w:tplc="EC84310A" w:tentative="1">
      <w:start w:val="1"/>
      <w:numFmt w:val="decimal"/>
      <w:lvlText w:val="%4."/>
      <w:lvlJc w:val="left"/>
      <w:pPr>
        <w:tabs>
          <w:tab w:val="num" w:pos="2880"/>
        </w:tabs>
        <w:ind w:left="2880" w:hanging="360"/>
      </w:pPr>
    </w:lvl>
    <w:lvl w:ilvl="4" w:tplc="C22CBD40" w:tentative="1">
      <w:start w:val="1"/>
      <w:numFmt w:val="decimal"/>
      <w:lvlText w:val="%5."/>
      <w:lvlJc w:val="left"/>
      <w:pPr>
        <w:tabs>
          <w:tab w:val="num" w:pos="3600"/>
        </w:tabs>
        <w:ind w:left="3600" w:hanging="360"/>
      </w:pPr>
    </w:lvl>
    <w:lvl w:ilvl="5" w:tplc="F48E8CDC" w:tentative="1">
      <w:start w:val="1"/>
      <w:numFmt w:val="decimal"/>
      <w:lvlText w:val="%6."/>
      <w:lvlJc w:val="left"/>
      <w:pPr>
        <w:tabs>
          <w:tab w:val="num" w:pos="4320"/>
        </w:tabs>
        <w:ind w:left="4320" w:hanging="360"/>
      </w:pPr>
    </w:lvl>
    <w:lvl w:ilvl="6" w:tplc="54B641C6" w:tentative="1">
      <w:start w:val="1"/>
      <w:numFmt w:val="decimal"/>
      <w:lvlText w:val="%7."/>
      <w:lvlJc w:val="left"/>
      <w:pPr>
        <w:tabs>
          <w:tab w:val="num" w:pos="5040"/>
        </w:tabs>
        <w:ind w:left="5040" w:hanging="360"/>
      </w:pPr>
    </w:lvl>
    <w:lvl w:ilvl="7" w:tplc="AED0FE2A" w:tentative="1">
      <w:start w:val="1"/>
      <w:numFmt w:val="decimal"/>
      <w:lvlText w:val="%8."/>
      <w:lvlJc w:val="left"/>
      <w:pPr>
        <w:tabs>
          <w:tab w:val="num" w:pos="5760"/>
        </w:tabs>
        <w:ind w:left="5760" w:hanging="360"/>
      </w:pPr>
    </w:lvl>
    <w:lvl w:ilvl="8" w:tplc="56CAEF64" w:tentative="1">
      <w:start w:val="1"/>
      <w:numFmt w:val="decimal"/>
      <w:lvlText w:val="%9."/>
      <w:lvlJc w:val="left"/>
      <w:pPr>
        <w:tabs>
          <w:tab w:val="num" w:pos="6480"/>
        </w:tabs>
        <w:ind w:left="6480" w:hanging="360"/>
      </w:pPr>
    </w:lvl>
  </w:abstractNum>
  <w:abstractNum w:abstractNumId="3" w15:restartNumberingAfterBreak="0">
    <w:nsid w:val="10F25135"/>
    <w:multiLevelType w:val="hybridMultilevel"/>
    <w:tmpl w:val="30DAA892"/>
    <w:lvl w:ilvl="0" w:tplc="808E505E">
      <w:start w:val="1"/>
      <w:numFmt w:val="bullet"/>
      <w:lvlText w:val="•"/>
      <w:lvlJc w:val="left"/>
      <w:pPr>
        <w:tabs>
          <w:tab w:val="num" w:pos="720"/>
        </w:tabs>
        <w:ind w:left="720" w:hanging="360"/>
      </w:pPr>
      <w:rPr>
        <w:rFonts w:ascii="Arial" w:hAnsi="Arial" w:hint="default"/>
      </w:rPr>
    </w:lvl>
    <w:lvl w:ilvl="1" w:tplc="915CE2F6" w:tentative="1">
      <w:start w:val="1"/>
      <w:numFmt w:val="bullet"/>
      <w:lvlText w:val="•"/>
      <w:lvlJc w:val="left"/>
      <w:pPr>
        <w:tabs>
          <w:tab w:val="num" w:pos="1440"/>
        </w:tabs>
        <w:ind w:left="1440" w:hanging="360"/>
      </w:pPr>
      <w:rPr>
        <w:rFonts w:ascii="Arial" w:hAnsi="Arial" w:hint="default"/>
      </w:rPr>
    </w:lvl>
    <w:lvl w:ilvl="2" w:tplc="894CB028" w:tentative="1">
      <w:start w:val="1"/>
      <w:numFmt w:val="bullet"/>
      <w:lvlText w:val="•"/>
      <w:lvlJc w:val="left"/>
      <w:pPr>
        <w:tabs>
          <w:tab w:val="num" w:pos="2160"/>
        </w:tabs>
        <w:ind w:left="2160" w:hanging="360"/>
      </w:pPr>
      <w:rPr>
        <w:rFonts w:ascii="Arial" w:hAnsi="Arial" w:hint="default"/>
      </w:rPr>
    </w:lvl>
    <w:lvl w:ilvl="3" w:tplc="88E07132" w:tentative="1">
      <w:start w:val="1"/>
      <w:numFmt w:val="bullet"/>
      <w:lvlText w:val="•"/>
      <w:lvlJc w:val="left"/>
      <w:pPr>
        <w:tabs>
          <w:tab w:val="num" w:pos="2880"/>
        </w:tabs>
        <w:ind w:left="2880" w:hanging="360"/>
      </w:pPr>
      <w:rPr>
        <w:rFonts w:ascii="Arial" w:hAnsi="Arial" w:hint="default"/>
      </w:rPr>
    </w:lvl>
    <w:lvl w:ilvl="4" w:tplc="E8A816DA" w:tentative="1">
      <w:start w:val="1"/>
      <w:numFmt w:val="bullet"/>
      <w:lvlText w:val="•"/>
      <w:lvlJc w:val="left"/>
      <w:pPr>
        <w:tabs>
          <w:tab w:val="num" w:pos="3600"/>
        </w:tabs>
        <w:ind w:left="3600" w:hanging="360"/>
      </w:pPr>
      <w:rPr>
        <w:rFonts w:ascii="Arial" w:hAnsi="Arial" w:hint="default"/>
      </w:rPr>
    </w:lvl>
    <w:lvl w:ilvl="5" w:tplc="E6AE1E2A" w:tentative="1">
      <w:start w:val="1"/>
      <w:numFmt w:val="bullet"/>
      <w:lvlText w:val="•"/>
      <w:lvlJc w:val="left"/>
      <w:pPr>
        <w:tabs>
          <w:tab w:val="num" w:pos="4320"/>
        </w:tabs>
        <w:ind w:left="4320" w:hanging="360"/>
      </w:pPr>
      <w:rPr>
        <w:rFonts w:ascii="Arial" w:hAnsi="Arial" w:hint="default"/>
      </w:rPr>
    </w:lvl>
    <w:lvl w:ilvl="6" w:tplc="B07E7E24" w:tentative="1">
      <w:start w:val="1"/>
      <w:numFmt w:val="bullet"/>
      <w:lvlText w:val="•"/>
      <w:lvlJc w:val="left"/>
      <w:pPr>
        <w:tabs>
          <w:tab w:val="num" w:pos="5040"/>
        </w:tabs>
        <w:ind w:left="5040" w:hanging="360"/>
      </w:pPr>
      <w:rPr>
        <w:rFonts w:ascii="Arial" w:hAnsi="Arial" w:hint="default"/>
      </w:rPr>
    </w:lvl>
    <w:lvl w:ilvl="7" w:tplc="CD5CD398" w:tentative="1">
      <w:start w:val="1"/>
      <w:numFmt w:val="bullet"/>
      <w:lvlText w:val="•"/>
      <w:lvlJc w:val="left"/>
      <w:pPr>
        <w:tabs>
          <w:tab w:val="num" w:pos="5760"/>
        </w:tabs>
        <w:ind w:left="5760" w:hanging="360"/>
      </w:pPr>
      <w:rPr>
        <w:rFonts w:ascii="Arial" w:hAnsi="Arial" w:hint="default"/>
      </w:rPr>
    </w:lvl>
    <w:lvl w:ilvl="8" w:tplc="EDBAC1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5C3C98"/>
    <w:multiLevelType w:val="hybridMultilevel"/>
    <w:tmpl w:val="98A2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B1045"/>
    <w:multiLevelType w:val="hybridMultilevel"/>
    <w:tmpl w:val="D512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F7424"/>
    <w:multiLevelType w:val="hybridMultilevel"/>
    <w:tmpl w:val="9AB6D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73CC8"/>
    <w:multiLevelType w:val="hybridMultilevel"/>
    <w:tmpl w:val="F796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A4"/>
    <w:rsid w:val="0012064B"/>
    <w:rsid w:val="004169A4"/>
    <w:rsid w:val="00487D97"/>
    <w:rsid w:val="006868A9"/>
    <w:rsid w:val="006B4E37"/>
    <w:rsid w:val="008C7E51"/>
    <w:rsid w:val="009B133B"/>
    <w:rsid w:val="00AE5E48"/>
    <w:rsid w:val="00B5348A"/>
    <w:rsid w:val="00CC1401"/>
    <w:rsid w:val="00E7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CD3C7-6788-47B4-A3EB-073A46BC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69A4"/>
    <w:rPr>
      <w:color w:val="0563C1" w:themeColor="hyperlink"/>
      <w:u w:val="single"/>
    </w:rPr>
  </w:style>
  <w:style w:type="paragraph" w:styleId="ListParagraph">
    <w:name w:val="List Paragraph"/>
    <w:basedOn w:val="Normal"/>
    <w:uiPriority w:val="34"/>
    <w:qFormat/>
    <w:rsid w:val="004169A4"/>
    <w:pPr>
      <w:ind w:left="720"/>
      <w:contextualSpacing/>
    </w:pPr>
  </w:style>
  <w:style w:type="paragraph" w:styleId="NoSpacing">
    <w:name w:val="No Spacing"/>
    <w:uiPriority w:val="1"/>
    <w:qFormat/>
    <w:rsid w:val="008C7E51"/>
    <w:pPr>
      <w:spacing w:after="0" w:line="240" w:lineRule="auto"/>
    </w:pPr>
  </w:style>
  <w:style w:type="paragraph" w:styleId="NormalWeb">
    <w:name w:val="Normal (Web)"/>
    <w:basedOn w:val="Normal"/>
    <w:uiPriority w:val="99"/>
    <w:semiHidden/>
    <w:unhideWhenUsed/>
    <w:rsid w:val="00AE5E4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5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48"/>
  </w:style>
  <w:style w:type="paragraph" w:styleId="Footer">
    <w:name w:val="footer"/>
    <w:basedOn w:val="Normal"/>
    <w:link w:val="FooterChar"/>
    <w:uiPriority w:val="99"/>
    <w:unhideWhenUsed/>
    <w:rsid w:val="00AE5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2378">
      <w:bodyDiv w:val="1"/>
      <w:marLeft w:val="0"/>
      <w:marRight w:val="0"/>
      <w:marTop w:val="0"/>
      <w:marBottom w:val="0"/>
      <w:divBdr>
        <w:top w:val="none" w:sz="0" w:space="0" w:color="auto"/>
        <w:left w:val="none" w:sz="0" w:space="0" w:color="auto"/>
        <w:bottom w:val="none" w:sz="0" w:space="0" w:color="auto"/>
        <w:right w:val="none" w:sz="0" w:space="0" w:color="auto"/>
      </w:divBdr>
    </w:div>
    <w:div w:id="420839247">
      <w:bodyDiv w:val="1"/>
      <w:marLeft w:val="0"/>
      <w:marRight w:val="0"/>
      <w:marTop w:val="0"/>
      <w:marBottom w:val="0"/>
      <w:divBdr>
        <w:top w:val="none" w:sz="0" w:space="0" w:color="auto"/>
        <w:left w:val="none" w:sz="0" w:space="0" w:color="auto"/>
        <w:bottom w:val="none" w:sz="0" w:space="0" w:color="auto"/>
        <w:right w:val="none" w:sz="0" w:space="0" w:color="auto"/>
      </w:divBdr>
    </w:div>
    <w:div w:id="455031672">
      <w:bodyDiv w:val="1"/>
      <w:marLeft w:val="0"/>
      <w:marRight w:val="0"/>
      <w:marTop w:val="0"/>
      <w:marBottom w:val="0"/>
      <w:divBdr>
        <w:top w:val="none" w:sz="0" w:space="0" w:color="auto"/>
        <w:left w:val="none" w:sz="0" w:space="0" w:color="auto"/>
        <w:bottom w:val="none" w:sz="0" w:space="0" w:color="auto"/>
        <w:right w:val="none" w:sz="0" w:space="0" w:color="auto"/>
      </w:divBdr>
    </w:div>
    <w:div w:id="523059780">
      <w:bodyDiv w:val="1"/>
      <w:marLeft w:val="0"/>
      <w:marRight w:val="0"/>
      <w:marTop w:val="0"/>
      <w:marBottom w:val="0"/>
      <w:divBdr>
        <w:top w:val="none" w:sz="0" w:space="0" w:color="auto"/>
        <w:left w:val="none" w:sz="0" w:space="0" w:color="auto"/>
        <w:bottom w:val="none" w:sz="0" w:space="0" w:color="auto"/>
        <w:right w:val="none" w:sz="0" w:space="0" w:color="auto"/>
      </w:divBdr>
    </w:div>
    <w:div w:id="926109235">
      <w:bodyDiv w:val="1"/>
      <w:marLeft w:val="0"/>
      <w:marRight w:val="0"/>
      <w:marTop w:val="0"/>
      <w:marBottom w:val="0"/>
      <w:divBdr>
        <w:top w:val="none" w:sz="0" w:space="0" w:color="auto"/>
        <w:left w:val="none" w:sz="0" w:space="0" w:color="auto"/>
        <w:bottom w:val="none" w:sz="0" w:space="0" w:color="auto"/>
        <w:right w:val="none" w:sz="0" w:space="0" w:color="auto"/>
      </w:divBdr>
      <w:divsChild>
        <w:div w:id="890268969">
          <w:marLeft w:val="1253"/>
          <w:marRight w:val="0"/>
          <w:marTop w:val="0"/>
          <w:marBottom w:val="0"/>
          <w:divBdr>
            <w:top w:val="none" w:sz="0" w:space="0" w:color="auto"/>
            <w:left w:val="none" w:sz="0" w:space="0" w:color="auto"/>
            <w:bottom w:val="none" w:sz="0" w:space="0" w:color="auto"/>
            <w:right w:val="none" w:sz="0" w:space="0" w:color="auto"/>
          </w:divBdr>
        </w:div>
        <w:div w:id="605234777">
          <w:marLeft w:val="1253"/>
          <w:marRight w:val="0"/>
          <w:marTop w:val="0"/>
          <w:marBottom w:val="0"/>
          <w:divBdr>
            <w:top w:val="none" w:sz="0" w:space="0" w:color="auto"/>
            <w:left w:val="none" w:sz="0" w:space="0" w:color="auto"/>
            <w:bottom w:val="none" w:sz="0" w:space="0" w:color="auto"/>
            <w:right w:val="none" w:sz="0" w:space="0" w:color="auto"/>
          </w:divBdr>
        </w:div>
      </w:divsChild>
    </w:div>
    <w:div w:id="1104303122">
      <w:bodyDiv w:val="1"/>
      <w:marLeft w:val="0"/>
      <w:marRight w:val="0"/>
      <w:marTop w:val="0"/>
      <w:marBottom w:val="0"/>
      <w:divBdr>
        <w:top w:val="none" w:sz="0" w:space="0" w:color="auto"/>
        <w:left w:val="none" w:sz="0" w:space="0" w:color="auto"/>
        <w:bottom w:val="none" w:sz="0" w:space="0" w:color="auto"/>
        <w:right w:val="none" w:sz="0" w:space="0" w:color="auto"/>
      </w:divBdr>
    </w:div>
    <w:div w:id="1503618665">
      <w:bodyDiv w:val="1"/>
      <w:marLeft w:val="0"/>
      <w:marRight w:val="0"/>
      <w:marTop w:val="0"/>
      <w:marBottom w:val="0"/>
      <w:divBdr>
        <w:top w:val="none" w:sz="0" w:space="0" w:color="auto"/>
        <w:left w:val="none" w:sz="0" w:space="0" w:color="auto"/>
        <w:bottom w:val="none" w:sz="0" w:space="0" w:color="auto"/>
        <w:right w:val="none" w:sz="0" w:space="0" w:color="auto"/>
      </w:divBdr>
      <w:divsChild>
        <w:div w:id="1557164859">
          <w:marLeft w:val="734"/>
          <w:marRight w:val="0"/>
          <w:marTop w:val="200"/>
          <w:marBottom w:val="0"/>
          <w:divBdr>
            <w:top w:val="none" w:sz="0" w:space="0" w:color="auto"/>
            <w:left w:val="none" w:sz="0" w:space="0" w:color="auto"/>
            <w:bottom w:val="none" w:sz="0" w:space="0" w:color="auto"/>
            <w:right w:val="none" w:sz="0" w:space="0" w:color="auto"/>
          </w:divBdr>
        </w:div>
        <w:div w:id="673336790">
          <w:marLeft w:val="734"/>
          <w:marRight w:val="0"/>
          <w:marTop w:val="200"/>
          <w:marBottom w:val="0"/>
          <w:divBdr>
            <w:top w:val="none" w:sz="0" w:space="0" w:color="auto"/>
            <w:left w:val="none" w:sz="0" w:space="0" w:color="auto"/>
            <w:bottom w:val="none" w:sz="0" w:space="0" w:color="auto"/>
            <w:right w:val="none" w:sz="0" w:space="0" w:color="auto"/>
          </w:divBdr>
        </w:div>
        <w:div w:id="2080706016">
          <w:marLeft w:val="734"/>
          <w:marRight w:val="0"/>
          <w:marTop w:val="200"/>
          <w:marBottom w:val="0"/>
          <w:divBdr>
            <w:top w:val="none" w:sz="0" w:space="0" w:color="auto"/>
            <w:left w:val="none" w:sz="0" w:space="0" w:color="auto"/>
            <w:bottom w:val="none" w:sz="0" w:space="0" w:color="auto"/>
            <w:right w:val="none" w:sz="0" w:space="0" w:color="auto"/>
          </w:divBdr>
        </w:div>
        <w:div w:id="80488463">
          <w:marLeft w:val="734"/>
          <w:marRight w:val="0"/>
          <w:marTop w:val="200"/>
          <w:marBottom w:val="0"/>
          <w:divBdr>
            <w:top w:val="none" w:sz="0" w:space="0" w:color="auto"/>
            <w:left w:val="none" w:sz="0" w:space="0" w:color="auto"/>
            <w:bottom w:val="none" w:sz="0" w:space="0" w:color="auto"/>
            <w:right w:val="none" w:sz="0" w:space="0" w:color="auto"/>
          </w:divBdr>
        </w:div>
        <w:div w:id="1612319899">
          <w:marLeft w:val="734"/>
          <w:marRight w:val="0"/>
          <w:marTop w:val="200"/>
          <w:marBottom w:val="0"/>
          <w:divBdr>
            <w:top w:val="none" w:sz="0" w:space="0" w:color="auto"/>
            <w:left w:val="none" w:sz="0" w:space="0" w:color="auto"/>
            <w:bottom w:val="none" w:sz="0" w:space="0" w:color="auto"/>
            <w:right w:val="none" w:sz="0" w:space="0" w:color="auto"/>
          </w:divBdr>
        </w:div>
        <w:div w:id="1232350171">
          <w:marLeft w:val="734"/>
          <w:marRight w:val="0"/>
          <w:marTop w:val="200"/>
          <w:marBottom w:val="0"/>
          <w:divBdr>
            <w:top w:val="none" w:sz="0" w:space="0" w:color="auto"/>
            <w:left w:val="none" w:sz="0" w:space="0" w:color="auto"/>
            <w:bottom w:val="none" w:sz="0" w:space="0" w:color="auto"/>
            <w:right w:val="none" w:sz="0" w:space="0" w:color="auto"/>
          </w:divBdr>
        </w:div>
        <w:div w:id="1986742752">
          <w:marLeft w:val="734"/>
          <w:marRight w:val="0"/>
          <w:marTop w:val="200"/>
          <w:marBottom w:val="0"/>
          <w:divBdr>
            <w:top w:val="none" w:sz="0" w:space="0" w:color="auto"/>
            <w:left w:val="none" w:sz="0" w:space="0" w:color="auto"/>
            <w:bottom w:val="none" w:sz="0" w:space="0" w:color="auto"/>
            <w:right w:val="none" w:sz="0" w:space="0" w:color="auto"/>
          </w:divBdr>
        </w:div>
        <w:div w:id="387074737">
          <w:marLeft w:val="734"/>
          <w:marRight w:val="0"/>
          <w:marTop w:val="200"/>
          <w:marBottom w:val="0"/>
          <w:divBdr>
            <w:top w:val="none" w:sz="0" w:space="0" w:color="auto"/>
            <w:left w:val="none" w:sz="0" w:space="0" w:color="auto"/>
            <w:bottom w:val="none" w:sz="0" w:space="0" w:color="auto"/>
            <w:right w:val="none" w:sz="0" w:space="0" w:color="auto"/>
          </w:divBdr>
        </w:div>
        <w:div w:id="1427311744">
          <w:marLeft w:val="734"/>
          <w:marRight w:val="0"/>
          <w:marTop w:val="200"/>
          <w:marBottom w:val="0"/>
          <w:divBdr>
            <w:top w:val="none" w:sz="0" w:space="0" w:color="auto"/>
            <w:left w:val="none" w:sz="0" w:space="0" w:color="auto"/>
            <w:bottom w:val="none" w:sz="0" w:space="0" w:color="auto"/>
            <w:right w:val="none" w:sz="0" w:space="0" w:color="auto"/>
          </w:divBdr>
        </w:div>
        <w:div w:id="1371106447">
          <w:marLeft w:val="734"/>
          <w:marRight w:val="0"/>
          <w:marTop w:val="200"/>
          <w:marBottom w:val="0"/>
          <w:divBdr>
            <w:top w:val="none" w:sz="0" w:space="0" w:color="auto"/>
            <w:left w:val="none" w:sz="0" w:space="0" w:color="auto"/>
            <w:bottom w:val="none" w:sz="0" w:space="0" w:color="auto"/>
            <w:right w:val="none" w:sz="0" w:space="0" w:color="auto"/>
          </w:divBdr>
        </w:div>
      </w:divsChild>
    </w:div>
    <w:div w:id="1518155433">
      <w:bodyDiv w:val="1"/>
      <w:marLeft w:val="0"/>
      <w:marRight w:val="0"/>
      <w:marTop w:val="0"/>
      <w:marBottom w:val="0"/>
      <w:divBdr>
        <w:top w:val="none" w:sz="0" w:space="0" w:color="auto"/>
        <w:left w:val="none" w:sz="0" w:space="0" w:color="auto"/>
        <w:bottom w:val="none" w:sz="0" w:space="0" w:color="auto"/>
        <w:right w:val="none" w:sz="0" w:space="0" w:color="auto"/>
      </w:divBdr>
      <w:divsChild>
        <w:div w:id="536696441">
          <w:marLeft w:val="734"/>
          <w:marRight w:val="0"/>
          <w:marTop w:val="200"/>
          <w:marBottom w:val="0"/>
          <w:divBdr>
            <w:top w:val="none" w:sz="0" w:space="0" w:color="auto"/>
            <w:left w:val="none" w:sz="0" w:space="0" w:color="auto"/>
            <w:bottom w:val="none" w:sz="0" w:space="0" w:color="auto"/>
            <w:right w:val="none" w:sz="0" w:space="0" w:color="auto"/>
          </w:divBdr>
        </w:div>
        <w:div w:id="72313239">
          <w:marLeft w:val="734"/>
          <w:marRight w:val="0"/>
          <w:marTop w:val="200"/>
          <w:marBottom w:val="0"/>
          <w:divBdr>
            <w:top w:val="none" w:sz="0" w:space="0" w:color="auto"/>
            <w:left w:val="none" w:sz="0" w:space="0" w:color="auto"/>
            <w:bottom w:val="none" w:sz="0" w:space="0" w:color="auto"/>
            <w:right w:val="none" w:sz="0" w:space="0" w:color="auto"/>
          </w:divBdr>
        </w:div>
        <w:div w:id="698699133">
          <w:marLeft w:val="734"/>
          <w:marRight w:val="0"/>
          <w:marTop w:val="200"/>
          <w:marBottom w:val="0"/>
          <w:divBdr>
            <w:top w:val="none" w:sz="0" w:space="0" w:color="auto"/>
            <w:left w:val="none" w:sz="0" w:space="0" w:color="auto"/>
            <w:bottom w:val="none" w:sz="0" w:space="0" w:color="auto"/>
            <w:right w:val="none" w:sz="0" w:space="0" w:color="auto"/>
          </w:divBdr>
        </w:div>
        <w:div w:id="1981766211">
          <w:marLeft w:val="734"/>
          <w:marRight w:val="0"/>
          <w:marTop w:val="200"/>
          <w:marBottom w:val="0"/>
          <w:divBdr>
            <w:top w:val="none" w:sz="0" w:space="0" w:color="auto"/>
            <w:left w:val="none" w:sz="0" w:space="0" w:color="auto"/>
            <w:bottom w:val="none" w:sz="0" w:space="0" w:color="auto"/>
            <w:right w:val="none" w:sz="0" w:space="0" w:color="auto"/>
          </w:divBdr>
        </w:div>
        <w:div w:id="699626513">
          <w:marLeft w:val="734"/>
          <w:marRight w:val="0"/>
          <w:marTop w:val="200"/>
          <w:marBottom w:val="0"/>
          <w:divBdr>
            <w:top w:val="none" w:sz="0" w:space="0" w:color="auto"/>
            <w:left w:val="none" w:sz="0" w:space="0" w:color="auto"/>
            <w:bottom w:val="none" w:sz="0" w:space="0" w:color="auto"/>
            <w:right w:val="none" w:sz="0" w:space="0" w:color="auto"/>
          </w:divBdr>
        </w:div>
        <w:div w:id="747769361">
          <w:marLeft w:val="734"/>
          <w:marRight w:val="0"/>
          <w:marTop w:val="200"/>
          <w:marBottom w:val="0"/>
          <w:divBdr>
            <w:top w:val="none" w:sz="0" w:space="0" w:color="auto"/>
            <w:left w:val="none" w:sz="0" w:space="0" w:color="auto"/>
            <w:bottom w:val="none" w:sz="0" w:space="0" w:color="auto"/>
            <w:right w:val="none" w:sz="0" w:space="0" w:color="auto"/>
          </w:divBdr>
        </w:div>
        <w:div w:id="349111286">
          <w:marLeft w:val="734"/>
          <w:marRight w:val="0"/>
          <w:marTop w:val="200"/>
          <w:marBottom w:val="0"/>
          <w:divBdr>
            <w:top w:val="none" w:sz="0" w:space="0" w:color="auto"/>
            <w:left w:val="none" w:sz="0" w:space="0" w:color="auto"/>
            <w:bottom w:val="none" w:sz="0" w:space="0" w:color="auto"/>
            <w:right w:val="none" w:sz="0" w:space="0" w:color="auto"/>
          </w:divBdr>
        </w:div>
        <w:div w:id="1112671744">
          <w:marLeft w:val="734"/>
          <w:marRight w:val="0"/>
          <w:marTop w:val="200"/>
          <w:marBottom w:val="0"/>
          <w:divBdr>
            <w:top w:val="none" w:sz="0" w:space="0" w:color="auto"/>
            <w:left w:val="none" w:sz="0" w:space="0" w:color="auto"/>
            <w:bottom w:val="none" w:sz="0" w:space="0" w:color="auto"/>
            <w:right w:val="none" w:sz="0" w:space="0" w:color="auto"/>
          </w:divBdr>
        </w:div>
        <w:div w:id="2060472332">
          <w:marLeft w:val="734"/>
          <w:marRight w:val="0"/>
          <w:marTop w:val="200"/>
          <w:marBottom w:val="0"/>
          <w:divBdr>
            <w:top w:val="none" w:sz="0" w:space="0" w:color="auto"/>
            <w:left w:val="none" w:sz="0" w:space="0" w:color="auto"/>
            <w:bottom w:val="none" w:sz="0" w:space="0" w:color="auto"/>
            <w:right w:val="none" w:sz="0" w:space="0" w:color="auto"/>
          </w:divBdr>
        </w:div>
        <w:div w:id="1916280476">
          <w:marLeft w:val="734"/>
          <w:marRight w:val="0"/>
          <w:marTop w:val="200"/>
          <w:marBottom w:val="0"/>
          <w:divBdr>
            <w:top w:val="none" w:sz="0" w:space="0" w:color="auto"/>
            <w:left w:val="none" w:sz="0" w:space="0" w:color="auto"/>
            <w:bottom w:val="none" w:sz="0" w:space="0" w:color="auto"/>
            <w:right w:val="none" w:sz="0" w:space="0" w:color="auto"/>
          </w:divBdr>
        </w:div>
      </w:divsChild>
    </w:div>
    <w:div w:id="1996102145">
      <w:bodyDiv w:val="1"/>
      <w:marLeft w:val="0"/>
      <w:marRight w:val="0"/>
      <w:marTop w:val="0"/>
      <w:marBottom w:val="0"/>
      <w:divBdr>
        <w:top w:val="none" w:sz="0" w:space="0" w:color="auto"/>
        <w:left w:val="none" w:sz="0" w:space="0" w:color="auto"/>
        <w:bottom w:val="none" w:sz="0" w:space="0" w:color="auto"/>
        <w:right w:val="none" w:sz="0" w:space="0" w:color="auto"/>
      </w:divBdr>
    </w:div>
    <w:div w:id="209875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pp.cms.gov/docs/QPP_quality_measure_specifications/Claims-Registry-Measures/2018_Measure_338_Registr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qa.org/hedis/meas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vtoxford.org/wp-content/uploads/2018/12/NQF_Measure_0483.pdf" TargetMode="External"/><Relationship Id="rId5" Type="http://schemas.openxmlformats.org/officeDocument/2006/relationships/footnotes" Target="footnotes.xml"/><Relationship Id="rId10" Type="http://schemas.openxmlformats.org/officeDocument/2006/relationships/hyperlink" Target="http://www.qualityforum.org/QPS/0335" TargetMode="External"/><Relationship Id="rId4" Type="http://schemas.openxmlformats.org/officeDocument/2006/relationships/webSettings" Target="webSettings.xml"/><Relationship Id="rId9" Type="http://schemas.openxmlformats.org/officeDocument/2006/relationships/hyperlink" Target="https://www.sts.org/quality-safety/performance-measures/descri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Children's Hospitals &amp; Clinics of MN</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Hester</dc:creator>
  <cp:keywords/>
  <dc:description/>
  <cp:lastModifiedBy>Gabrielle Hester</cp:lastModifiedBy>
  <cp:revision>9</cp:revision>
  <dcterms:created xsi:type="dcterms:W3CDTF">2020-09-02T15:27:00Z</dcterms:created>
  <dcterms:modified xsi:type="dcterms:W3CDTF">2020-09-02T16:12:00Z</dcterms:modified>
</cp:coreProperties>
</file>